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3B52C" w14:textId="77777777" w:rsidR="00E82C70" w:rsidRDefault="00E82C70" w:rsidP="00B27F04">
      <w:pPr>
        <w:pStyle w:val="paragraph"/>
        <w:spacing w:before="0" w:beforeAutospacing="0" w:after="0" w:afterAutospacing="0"/>
        <w:jc w:val="center"/>
        <w:textAlignment w:val="baseline"/>
        <w:rPr>
          <w:rStyle w:val="eop"/>
          <w:rFonts w:ascii="Calibri" w:hAnsi="Calibri" w:cs="Calibri"/>
          <w:color w:val="522E91"/>
        </w:rPr>
      </w:pPr>
    </w:p>
    <w:p w14:paraId="3085F261" w14:textId="77777777" w:rsidR="00E82C70" w:rsidRDefault="00E82C70" w:rsidP="00B27F04">
      <w:pPr>
        <w:pStyle w:val="paragraph"/>
        <w:spacing w:before="0" w:beforeAutospacing="0" w:after="0" w:afterAutospacing="0"/>
        <w:jc w:val="center"/>
        <w:textAlignment w:val="baseline"/>
        <w:rPr>
          <w:rStyle w:val="eop"/>
          <w:rFonts w:ascii="Calibri" w:hAnsi="Calibri" w:cs="Calibri"/>
          <w:color w:val="522E91"/>
        </w:rPr>
      </w:pPr>
    </w:p>
    <w:p w14:paraId="0F5BCC03" w14:textId="77777777" w:rsidR="00E82C70" w:rsidRDefault="00E82C70" w:rsidP="00B27F04">
      <w:pPr>
        <w:pStyle w:val="paragraph"/>
        <w:spacing w:before="0" w:beforeAutospacing="0" w:after="0" w:afterAutospacing="0"/>
        <w:jc w:val="center"/>
        <w:textAlignment w:val="baseline"/>
        <w:rPr>
          <w:rStyle w:val="eop"/>
          <w:rFonts w:ascii="Calibri" w:hAnsi="Calibri" w:cs="Calibri"/>
          <w:color w:val="522E91"/>
        </w:rPr>
      </w:pPr>
    </w:p>
    <w:p w14:paraId="698D59BF" w14:textId="77777777" w:rsidR="00E82C70" w:rsidRDefault="00E82C70" w:rsidP="00B27F04">
      <w:pPr>
        <w:pStyle w:val="paragraph"/>
        <w:spacing w:before="0" w:beforeAutospacing="0" w:after="0" w:afterAutospacing="0"/>
        <w:jc w:val="center"/>
        <w:textAlignment w:val="baseline"/>
        <w:rPr>
          <w:rStyle w:val="eop"/>
          <w:rFonts w:ascii="Calibri" w:hAnsi="Calibri" w:cs="Calibri"/>
          <w:color w:val="522E91"/>
        </w:rPr>
      </w:pPr>
    </w:p>
    <w:p w14:paraId="4361D204" w14:textId="77777777" w:rsidR="00E82C70" w:rsidRDefault="00E82C70" w:rsidP="00B27F04">
      <w:pPr>
        <w:pStyle w:val="paragraph"/>
        <w:spacing w:before="0" w:beforeAutospacing="0" w:after="0" w:afterAutospacing="0"/>
        <w:jc w:val="center"/>
        <w:textAlignment w:val="baseline"/>
        <w:rPr>
          <w:rStyle w:val="eop"/>
          <w:rFonts w:ascii="Calibri" w:hAnsi="Calibri" w:cs="Calibri"/>
          <w:color w:val="522E91"/>
        </w:rPr>
      </w:pPr>
    </w:p>
    <w:p w14:paraId="3E3A9D05" w14:textId="77777777" w:rsidR="00E82C70" w:rsidRDefault="00E82C70" w:rsidP="00B27F04">
      <w:pPr>
        <w:pStyle w:val="paragraph"/>
        <w:spacing w:before="0" w:beforeAutospacing="0" w:after="0" w:afterAutospacing="0"/>
        <w:jc w:val="center"/>
        <w:textAlignment w:val="baseline"/>
        <w:rPr>
          <w:rStyle w:val="eop"/>
          <w:rFonts w:ascii="Calibri" w:hAnsi="Calibri" w:cs="Calibri"/>
          <w:color w:val="522E91"/>
        </w:rPr>
      </w:pPr>
    </w:p>
    <w:p w14:paraId="36AFB03E" w14:textId="77777777" w:rsidR="00E82C70" w:rsidRDefault="00E82C70" w:rsidP="00B27F04">
      <w:pPr>
        <w:pStyle w:val="paragraph"/>
        <w:spacing w:before="0" w:beforeAutospacing="0" w:after="0" w:afterAutospacing="0"/>
        <w:jc w:val="center"/>
        <w:textAlignment w:val="baseline"/>
        <w:rPr>
          <w:rStyle w:val="eop"/>
          <w:rFonts w:ascii="Calibri" w:hAnsi="Calibri" w:cs="Calibri"/>
          <w:color w:val="522E91"/>
        </w:rPr>
      </w:pPr>
    </w:p>
    <w:p w14:paraId="516EA795" w14:textId="69A69504" w:rsidR="00B27F04" w:rsidRDefault="00B27F04" w:rsidP="00B27F04">
      <w:pPr>
        <w:pStyle w:val="paragraph"/>
        <w:spacing w:before="0" w:beforeAutospacing="0" w:after="0" w:afterAutospacing="0"/>
        <w:jc w:val="center"/>
        <w:textAlignment w:val="baseline"/>
        <w:rPr>
          <w:rFonts w:ascii="Segoe UI" w:hAnsi="Segoe UI" w:cs="Segoe UI"/>
          <w:color w:val="000000"/>
          <w:sz w:val="18"/>
          <w:szCs w:val="18"/>
        </w:rPr>
      </w:pPr>
      <w:r>
        <w:rPr>
          <w:rStyle w:val="eop"/>
          <w:rFonts w:ascii="Calibri" w:hAnsi="Calibri" w:cs="Calibri"/>
          <w:color w:val="522E91"/>
        </w:rPr>
        <w:t> </w:t>
      </w:r>
    </w:p>
    <w:p w14:paraId="1D1FF080" w14:textId="5EB484B4" w:rsidR="00B27F04" w:rsidRDefault="00B27F04" w:rsidP="00B27F04">
      <w:pPr>
        <w:pStyle w:val="paragraph"/>
        <w:spacing w:before="0" w:beforeAutospacing="0" w:after="0" w:afterAutospacing="0"/>
        <w:jc w:val="center"/>
        <w:textAlignment w:val="baseline"/>
        <w:rPr>
          <w:rFonts w:ascii="Segoe UI" w:hAnsi="Segoe UI" w:cs="Segoe UI"/>
          <w:color w:val="000000"/>
          <w:sz w:val="18"/>
          <w:szCs w:val="18"/>
        </w:rPr>
      </w:pPr>
      <w:r>
        <w:rPr>
          <w:rStyle w:val="wacimagecontainer"/>
          <w:rFonts w:ascii="Segoe UI" w:hAnsi="Segoe UI" w:cs="Segoe UI"/>
          <w:noProof/>
          <w:color w:val="000000"/>
          <w:sz w:val="18"/>
          <w:szCs w:val="18"/>
        </w:rPr>
        <w:drawing>
          <wp:inline distT="0" distB="0" distL="0" distR="0" wp14:anchorId="028207B7" wp14:editId="5A8295AA">
            <wp:extent cx="2228850" cy="1929130"/>
            <wp:effectExtent l="0" t="0" r="0" b="0"/>
            <wp:docPr id="2020594250" name="Picture 2020594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8850" cy="1929130"/>
                    </a:xfrm>
                    <a:prstGeom prst="rect">
                      <a:avLst/>
                    </a:prstGeom>
                    <a:noFill/>
                    <a:ln>
                      <a:noFill/>
                    </a:ln>
                  </pic:spPr>
                </pic:pic>
              </a:graphicData>
            </a:graphic>
          </wp:inline>
        </w:drawing>
      </w:r>
      <w:r>
        <w:rPr>
          <w:rStyle w:val="eop"/>
          <w:rFonts w:ascii="Calibri" w:hAnsi="Calibri" w:cs="Calibri"/>
          <w:color w:val="522E91"/>
        </w:rPr>
        <w:t> </w:t>
      </w:r>
    </w:p>
    <w:p w14:paraId="6D5A2228" w14:textId="77777777" w:rsidR="00B27F04" w:rsidRDefault="00B27F04" w:rsidP="00B27F04">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46"/>
          <w:szCs w:val="46"/>
        </w:rPr>
        <w:t> </w:t>
      </w:r>
    </w:p>
    <w:p w14:paraId="35DD598F" w14:textId="17EDD54B" w:rsidR="00B27F04" w:rsidRDefault="00B27F04" w:rsidP="00B27F04">
      <w:pPr>
        <w:pStyle w:val="paragraph"/>
        <w:spacing w:before="0" w:beforeAutospacing="0" w:after="0" w:afterAutospacing="0"/>
        <w:jc w:val="center"/>
        <w:textAlignment w:val="baseline"/>
        <w:rPr>
          <w:rStyle w:val="eop"/>
          <w:rFonts w:ascii="Calibri" w:hAnsi="Calibri" w:cs="Calibri"/>
          <w:sz w:val="58"/>
          <w:szCs w:val="58"/>
        </w:rPr>
      </w:pPr>
      <w:r>
        <w:rPr>
          <w:rStyle w:val="normaltextrun"/>
          <w:rFonts w:ascii="Calibri" w:hAnsi="Calibri" w:cs="Calibri"/>
          <w:b/>
          <w:bCs/>
          <w:sz w:val="58"/>
          <w:szCs w:val="58"/>
        </w:rPr>
        <w:t xml:space="preserve">Submission to </w:t>
      </w:r>
      <w:r w:rsidRPr="00B27F04">
        <w:rPr>
          <w:rStyle w:val="normaltextrun"/>
          <w:rFonts w:ascii="Calibri" w:hAnsi="Calibri" w:cs="Calibri"/>
          <w:b/>
          <w:bCs/>
          <w:sz w:val="58"/>
          <w:szCs w:val="58"/>
        </w:rPr>
        <w:t>House of Representatives Standing Committee on Social Policy and Legal Affairs</w:t>
      </w:r>
      <w:r>
        <w:rPr>
          <w:rStyle w:val="normaltextrun"/>
          <w:rFonts w:ascii="Calibri" w:hAnsi="Calibri" w:cs="Calibri"/>
          <w:b/>
          <w:bCs/>
          <w:sz w:val="58"/>
          <w:szCs w:val="58"/>
        </w:rPr>
        <w:t xml:space="preserve"> on the </w:t>
      </w:r>
      <w:r w:rsidRPr="00B27F04">
        <w:rPr>
          <w:rStyle w:val="normaltextrun"/>
          <w:rFonts w:ascii="Calibri" w:hAnsi="Calibri" w:cs="Calibri"/>
          <w:b/>
          <w:bCs/>
          <w:sz w:val="58"/>
          <w:szCs w:val="58"/>
        </w:rPr>
        <w:t>Administrative Review Tribunal Bill 2023</w:t>
      </w:r>
    </w:p>
    <w:p w14:paraId="07C194B3" w14:textId="5810954D" w:rsidR="00B27F04" w:rsidRDefault="00B27F04" w:rsidP="00B27F04">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58"/>
          <w:szCs w:val="58"/>
        </w:rPr>
        <w:t> </w:t>
      </w:r>
    </w:p>
    <w:p w14:paraId="28725106" w14:textId="77777777" w:rsidR="00B27F04" w:rsidRDefault="00B27F04" w:rsidP="00B27F0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49B1D49" w14:textId="73607FB7" w:rsidR="00B27F04" w:rsidRDefault="00B27F04" w:rsidP="00B27F04">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32"/>
          <w:szCs w:val="32"/>
        </w:rPr>
        <w:t>January 2024</w:t>
      </w:r>
      <w:r>
        <w:rPr>
          <w:rStyle w:val="eop"/>
          <w:rFonts w:ascii="Calibri" w:hAnsi="Calibri" w:cs="Calibri"/>
          <w:sz w:val="32"/>
          <w:szCs w:val="32"/>
        </w:rPr>
        <w:t> </w:t>
      </w:r>
    </w:p>
    <w:p w14:paraId="0DBF45A6" w14:textId="77777777" w:rsidR="00B27F04" w:rsidRDefault="00B27F04" w:rsidP="00B27F0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DDFB9C2" w14:textId="77777777" w:rsidR="00B27F04" w:rsidRDefault="00B27F04" w:rsidP="00B27F04">
      <w:pPr>
        <w:pStyle w:val="paragraph"/>
        <w:spacing w:before="0" w:beforeAutospacing="0" w:after="0" w:afterAutospacing="0"/>
        <w:textAlignment w:val="baseline"/>
        <w:rPr>
          <w:rStyle w:val="eop"/>
          <w:rFonts w:ascii="Calibri" w:hAnsi="Calibri" w:cs="Calibri"/>
          <w:color w:val="FF0000"/>
        </w:rPr>
      </w:pPr>
      <w:r>
        <w:rPr>
          <w:rStyle w:val="eop"/>
          <w:rFonts w:ascii="Calibri" w:hAnsi="Calibri" w:cs="Calibri"/>
          <w:color w:val="FF0000"/>
        </w:rPr>
        <w:t> </w:t>
      </w:r>
    </w:p>
    <w:p w14:paraId="1AAACE48" w14:textId="77777777" w:rsidR="00B27F04" w:rsidRDefault="00B27F04" w:rsidP="00B27F04">
      <w:pPr>
        <w:pStyle w:val="paragraph"/>
        <w:spacing w:before="0" w:beforeAutospacing="0" w:after="0" w:afterAutospacing="0"/>
        <w:textAlignment w:val="baseline"/>
        <w:rPr>
          <w:rStyle w:val="eop"/>
          <w:rFonts w:ascii="Calibri" w:hAnsi="Calibri" w:cs="Calibri"/>
          <w:color w:val="FF0000"/>
        </w:rPr>
      </w:pPr>
    </w:p>
    <w:p w14:paraId="2B985D96" w14:textId="77777777" w:rsidR="00B27F04" w:rsidRDefault="00B27F04" w:rsidP="00B27F04">
      <w:pPr>
        <w:pStyle w:val="paragraph"/>
        <w:spacing w:before="0" w:beforeAutospacing="0" w:after="0" w:afterAutospacing="0"/>
        <w:textAlignment w:val="baseline"/>
        <w:rPr>
          <w:rStyle w:val="eop"/>
          <w:rFonts w:ascii="Calibri" w:hAnsi="Calibri" w:cs="Calibri"/>
          <w:color w:val="FF0000"/>
        </w:rPr>
      </w:pPr>
    </w:p>
    <w:p w14:paraId="4C1C20CE" w14:textId="77777777" w:rsidR="00B27F04" w:rsidRDefault="00B27F04" w:rsidP="00B27F04">
      <w:pPr>
        <w:pStyle w:val="paragraph"/>
        <w:spacing w:before="0" w:beforeAutospacing="0" w:after="0" w:afterAutospacing="0"/>
        <w:textAlignment w:val="baseline"/>
        <w:rPr>
          <w:rStyle w:val="eop"/>
          <w:rFonts w:ascii="Calibri" w:hAnsi="Calibri" w:cs="Calibri"/>
          <w:color w:val="FF0000"/>
        </w:rPr>
      </w:pPr>
    </w:p>
    <w:p w14:paraId="5E864594" w14:textId="77777777" w:rsidR="00B27F04" w:rsidRDefault="00B27F04" w:rsidP="00B27F04">
      <w:pPr>
        <w:pStyle w:val="paragraph"/>
        <w:spacing w:before="0" w:beforeAutospacing="0" w:after="0" w:afterAutospacing="0"/>
        <w:textAlignment w:val="baseline"/>
        <w:rPr>
          <w:rStyle w:val="eop"/>
          <w:rFonts w:ascii="Calibri" w:hAnsi="Calibri" w:cs="Calibri"/>
          <w:color w:val="FF0000"/>
        </w:rPr>
      </w:pPr>
    </w:p>
    <w:p w14:paraId="7CCC0969" w14:textId="77777777" w:rsidR="00B27F04" w:rsidRDefault="00B27F04" w:rsidP="00B27F04">
      <w:pPr>
        <w:pStyle w:val="paragraph"/>
        <w:spacing w:before="0" w:beforeAutospacing="0" w:after="0" w:afterAutospacing="0"/>
        <w:textAlignment w:val="baseline"/>
        <w:rPr>
          <w:rFonts w:ascii="Segoe UI" w:hAnsi="Segoe UI" w:cs="Segoe UI"/>
          <w:color w:val="000000"/>
          <w:sz w:val="18"/>
          <w:szCs w:val="18"/>
        </w:rPr>
      </w:pPr>
    </w:p>
    <w:p w14:paraId="0AE63A1F" w14:textId="77777777" w:rsidR="00B27F04" w:rsidRDefault="00B27F04" w:rsidP="00B27F0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0B6AA631" w14:textId="77777777" w:rsidR="00B27F04" w:rsidRDefault="00B27F04" w:rsidP="00B27F04">
      <w:pPr>
        <w:pStyle w:val="paragraph"/>
        <w:spacing w:before="0" w:beforeAutospacing="0" w:after="0" w:afterAutospacing="0"/>
        <w:textAlignment w:val="baseline"/>
        <w:rPr>
          <w:rStyle w:val="normaltextrun"/>
          <w:rFonts w:ascii="Calibri" w:hAnsi="Calibri" w:cs="Calibri"/>
          <w:b/>
          <w:bCs/>
          <w:color w:val="7030A0"/>
          <w:sz w:val="30"/>
          <w:szCs w:val="30"/>
        </w:rPr>
      </w:pPr>
    </w:p>
    <w:p w14:paraId="3D506771" w14:textId="15764C9E" w:rsidR="00B27F04" w:rsidRPr="005B000A" w:rsidRDefault="00B27F04" w:rsidP="00B27F04">
      <w:pPr>
        <w:pStyle w:val="paragraph"/>
        <w:spacing w:before="0" w:beforeAutospacing="0" w:after="0" w:afterAutospacing="0"/>
        <w:textAlignment w:val="baseline"/>
        <w:rPr>
          <w:rStyle w:val="eop"/>
          <w:rFonts w:asciiTheme="minorHAnsi" w:hAnsiTheme="minorHAnsi" w:cstheme="minorHAnsi"/>
          <w:color w:val="7030A0"/>
          <w:sz w:val="32"/>
          <w:szCs w:val="32"/>
        </w:rPr>
      </w:pPr>
      <w:r w:rsidRPr="005B000A">
        <w:rPr>
          <w:rStyle w:val="normaltextrun"/>
          <w:rFonts w:asciiTheme="minorHAnsi" w:hAnsiTheme="minorHAnsi" w:cstheme="minorHAnsi"/>
          <w:b/>
          <w:bCs/>
          <w:color w:val="7030A0"/>
          <w:sz w:val="32"/>
          <w:szCs w:val="32"/>
        </w:rPr>
        <w:lastRenderedPageBreak/>
        <w:t>About the Submitter</w:t>
      </w:r>
      <w:r w:rsidRPr="005B000A">
        <w:rPr>
          <w:rStyle w:val="eop"/>
          <w:rFonts w:asciiTheme="minorHAnsi" w:hAnsiTheme="minorHAnsi" w:cstheme="minorHAnsi"/>
          <w:color w:val="7030A0"/>
          <w:sz w:val="32"/>
          <w:szCs w:val="32"/>
        </w:rPr>
        <w:t> </w:t>
      </w:r>
    </w:p>
    <w:p w14:paraId="08BFDFFB" w14:textId="77777777" w:rsidR="007F6178" w:rsidRPr="00146C13" w:rsidRDefault="007F6178" w:rsidP="00B27F04">
      <w:pPr>
        <w:pStyle w:val="paragraph"/>
        <w:spacing w:before="0" w:beforeAutospacing="0" w:after="0" w:afterAutospacing="0"/>
        <w:textAlignment w:val="baseline"/>
        <w:rPr>
          <w:rFonts w:asciiTheme="minorHAnsi" w:hAnsiTheme="minorHAnsi" w:cstheme="minorHAnsi"/>
        </w:rPr>
      </w:pPr>
    </w:p>
    <w:p w14:paraId="509D2C06" w14:textId="77777777" w:rsidR="00B27F04" w:rsidRPr="00146C13" w:rsidRDefault="00B27F04" w:rsidP="00B27F04">
      <w:pPr>
        <w:pStyle w:val="paragraph"/>
        <w:spacing w:before="0" w:beforeAutospacing="0" w:after="0" w:afterAutospacing="0"/>
        <w:textAlignment w:val="baseline"/>
        <w:rPr>
          <w:rFonts w:asciiTheme="minorHAnsi" w:hAnsiTheme="minorHAnsi" w:cstheme="minorHAnsi"/>
        </w:rPr>
      </w:pPr>
      <w:r w:rsidRPr="00146C13">
        <w:rPr>
          <w:rStyle w:val="normaltextrun"/>
          <w:rFonts w:asciiTheme="minorHAnsi" w:hAnsiTheme="minorHAnsi" w:cstheme="minorHAnsi"/>
        </w:rPr>
        <w:t>JFA Purple Orange is an independent social-profit organisation that undertakes systemic policy analysis and advocacy across a range of issues affecting people living with disability and their families.</w:t>
      </w:r>
      <w:r w:rsidRPr="00146C13">
        <w:rPr>
          <w:rStyle w:val="eop"/>
          <w:rFonts w:asciiTheme="minorHAnsi" w:hAnsiTheme="minorHAnsi" w:cstheme="minorHAnsi"/>
        </w:rPr>
        <w:t> </w:t>
      </w:r>
    </w:p>
    <w:p w14:paraId="5CE0DD31" w14:textId="77777777" w:rsidR="007F6178" w:rsidRPr="00146C13" w:rsidRDefault="007F6178" w:rsidP="00B27F04">
      <w:pPr>
        <w:pStyle w:val="paragraph"/>
        <w:spacing w:before="0" w:beforeAutospacing="0" w:after="0" w:afterAutospacing="0"/>
        <w:textAlignment w:val="baseline"/>
        <w:rPr>
          <w:rStyle w:val="normaltextrun"/>
          <w:rFonts w:asciiTheme="minorHAnsi" w:hAnsiTheme="minorHAnsi" w:cstheme="minorHAnsi"/>
        </w:rPr>
      </w:pPr>
    </w:p>
    <w:p w14:paraId="38AEB114" w14:textId="44005C47" w:rsidR="00B27F04" w:rsidRPr="00146C13" w:rsidRDefault="00B27F04" w:rsidP="00B27F04">
      <w:pPr>
        <w:pStyle w:val="paragraph"/>
        <w:spacing w:before="0" w:beforeAutospacing="0" w:after="0" w:afterAutospacing="0"/>
        <w:textAlignment w:val="baseline"/>
        <w:rPr>
          <w:rFonts w:asciiTheme="minorHAnsi" w:hAnsiTheme="minorHAnsi" w:cstheme="minorHAnsi"/>
        </w:rPr>
      </w:pPr>
      <w:r w:rsidRPr="00146C13">
        <w:rPr>
          <w:rStyle w:val="normaltextrun"/>
          <w:rFonts w:asciiTheme="minorHAnsi" w:hAnsiTheme="minorHAnsi" w:cstheme="minorHAnsi"/>
        </w:rPr>
        <w:t xml:space="preserve">Our work is characterised by co-design and co-production and includes hosting </w:t>
      </w:r>
      <w:proofErr w:type="gramStart"/>
      <w:r w:rsidRPr="00146C13">
        <w:rPr>
          <w:rStyle w:val="normaltextrun"/>
          <w:rFonts w:asciiTheme="minorHAnsi" w:hAnsiTheme="minorHAnsi" w:cstheme="minorHAnsi"/>
        </w:rPr>
        <w:t>a number of</w:t>
      </w:r>
      <w:proofErr w:type="gramEnd"/>
      <w:r w:rsidRPr="00146C13">
        <w:rPr>
          <w:rStyle w:val="normaltextrun"/>
          <w:rFonts w:asciiTheme="minorHAnsi" w:hAnsiTheme="minorHAnsi" w:cstheme="minorHAnsi"/>
        </w:rPr>
        <w:t xml:space="preserve"> user-led initiatives.</w:t>
      </w:r>
      <w:r w:rsidRPr="00146C13">
        <w:rPr>
          <w:rStyle w:val="eop"/>
          <w:rFonts w:asciiTheme="minorHAnsi" w:hAnsiTheme="minorHAnsi" w:cstheme="minorHAnsi"/>
        </w:rPr>
        <w:t> </w:t>
      </w:r>
    </w:p>
    <w:p w14:paraId="471DED38" w14:textId="77777777" w:rsidR="007F6178" w:rsidRPr="00146C13" w:rsidRDefault="007F6178" w:rsidP="00B27F04">
      <w:pPr>
        <w:pStyle w:val="paragraph"/>
        <w:spacing w:before="0" w:beforeAutospacing="0" w:after="0" w:afterAutospacing="0"/>
        <w:textAlignment w:val="baseline"/>
        <w:rPr>
          <w:rStyle w:val="normaltextrun"/>
          <w:rFonts w:asciiTheme="minorHAnsi" w:hAnsiTheme="minorHAnsi" w:cstheme="minorHAnsi"/>
        </w:rPr>
      </w:pPr>
    </w:p>
    <w:p w14:paraId="20CC305F" w14:textId="399292FE" w:rsidR="00B27F04" w:rsidRPr="00146C13" w:rsidRDefault="00B27F04" w:rsidP="00B27F04">
      <w:pPr>
        <w:pStyle w:val="paragraph"/>
        <w:spacing w:before="0" w:beforeAutospacing="0" w:after="0" w:afterAutospacing="0"/>
        <w:textAlignment w:val="baseline"/>
        <w:rPr>
          <w:rFonts w:asciiTheme="minorHAnsi" w:hAnsiTheme="minorHAnsi" w:cstheme="minorHAnsi"/>
        </w:rPr>
      </w:pPr>
      <w:r w:rsidRPr="00146C13">
        <w:rPr>
          <w:rStyle w:val="normaltextrun"/>
          <w:rFonts w:asciiTheme="minorHAnsi" w:hAnsiTheme="minorHAnsi" w:cstheme="minorHAnsi"/>
        </w:rPr>
        <w:t>Much of our work involves connecting people living with disability to good information and to each other. We also work extensively in multi-stakeholder consultation and collaboration, especially about policy and practice that helps ensure people living with disability are welcomed as valued members of the mainstream community.</w:t>
      </w:r>
      <w:r w:rsidRPr="00146C13">
        <w:rPr>
          <w:rStyle w:val="eop"/>
          <w:rFonts w:asciiTheme="minorHAnsi" w:hAnsiTheme="minorHAnsi" w:cstheme="minorHAnsi"/>
        </w:rPr>
        <w:t> </w:t>
      </w:r>
    </w:p>
    <w:p w14:paraId="5AE792B3" w14:textId="77777777" w:rsidR="007F6178" w:rsidRPr="00146C13" w:rsidRDefault="007F6178" w:rsidP="00B27F04">
      <w:pPr>
        <w:pStyle w:val="paragraph"/>
        <w:spacing w:before="0" w:beforeAutospacing="0" w:after="0" w:afterAutospacing="0"/>
        <w:textAlignment w:val="baseline"/>
        <w:rPr>
          <w:rStyle w:val="normaltextrun"/>
          <w:rFonts w:asciiTheme="minorHAnsi" w:hAnsiTheme="minorHAnsi" w:cstheme="minorHAnsi"/>
        </w:rPr>
      </w:pPr>
    </w:p>
    <w:p w14:paraId="546879C3" w14:textId="62225A1A" w:rsidR="00B27F04" w:rsidRPr="00146C13" w:rsidRDefault="00B27F04" w:rsidP="00B27F04">
      <w:pPr>
        <w:pStyle w:val="paragraph"/>
        <w:spacing w:before="0" w:beforeAutospacing="0" w:after="0" w:afterAutospacing="0"/>
        <w:textAlignment w:val="baseline"/>
        <w:rPr>
          <w:rFonts w:asciiTheme="minorHAnsi" w:hAnsiTheme="minorHAnsi" w:cstheme="minorHAnsi"/>
        </w:rPr>
      </w:pPr>
      <w:r w:rsidRPr="00146C13">
        <w:rPr>
          <w:rStyle w:val="normaltextrun"/>
          <w:rFonts w:asciiTheme="minorHAnsi" w:hAnsiTheme="minorHAnsi" w:cstheme="minorHAnsi"/>
        </w:rPr>
        <w:t xml:space="preserve">Our work is informed by a model called </w:t>
      </w:r>
      <w:r w:rsidRPr="00146C13">
        <w:rPr>
          <w:rStyle w:val="normaltextrun"/>
          <w:rFonts w:asciiTheme="minorHAnsi" w:hAnsiTheme="minorHAnsi" w:cstheme="minorHAnsi"/>
          <w:i/>
          <w:iCs/>
        </w:rPr>
        <w:t>Citizenhood</w:t>
      </w:r>
      <w:r w:rsidRPr="00146C13">
        <w:rPr>
          <w:rStyle w:val="normaltextrun"/>
          <w:rFonts w:asciiTheme="minorHAnsi" w:hAnsiTheme="minorHAnsi" w:cstheme="minorHAnsi"/>
        </w:rPr>
        <w:t>.</w:t>
      </w:r>
      <w:r w:rsidRPr="00146C13">
        <w:rPr>
          <w:rStyle w:val="eop"/>
          <w:rFonts w:asciiTheme="minorHAnsi" w:hAnsiTheme="minorHAnsi" w:cstheme="minorHAnsi"/>
        </w:rPr>
        <w:t> </w:t>
      </w:r>
    </w:p>
    <w:p w14:paraId="2552DF6E" w14:textId="77777777" w:rsidR="007F6178" w:rsidRPr="00146C13" w:rsidRDefault="007F6178" w:rsidP="00B27F04">
      <w:pPr>
        <w:pStyle w:val="paragraph"/>
        <w:spacing w:before="0" w:beforeAutospacing="0" w:after="0" w:afterAutospacing="0"/>
        <w:textAlignment w:val="baseline"/>
        <w:rPr>
          <w:rStyle w:val="normaltextrun"/>
          <w:rFonts w:asciiTheme="minorHAnsi" w:hAnsiTheme="minorHAnsi" w:cstheme="minorHAnsi"/>
        </w:rPr>
      </w:pPr>
    </w:p>
    <w:p w14:paraId="47141218" w14:textId="00F3D584" w:rsidR="00B27F04" w:rsidRPr="00146C13" w:rsidRDefault="00B27F04" w:rsidP="00B27F04">
      <w:pPr>
        <w:pStyle w:val="paragraph"/>
        <w:spacing w:before="0" w:beforeAutospacing="0" w:after="0" w:afterAutospacing="0"/>
        <w:textAlignment w:val="baseline"/>
        <w:rPr>
          <w:rFonts w:asciiTheme="minorHAnsi" w:hAnsiTheme="minorHAnsi" w:cstheme="minorHAnsi"/>
        </w:rPr>
      </w:pPr>
      <w:r w:rsidRPr="00146C13">
        <w:rPr>
          <w:rStyle w:val="normaltextrun"/>
          <w:rFonts w:asciiTheme="minorHAnsi" w:hAnsiTheme="minorHAnsi" w:cstheme="minorHAnsi"/>
        </w:rPr>
        <w:t>JFA Purple Orange</w:t>
      </w:r>
      <w:r w:rsidRPr="00146C13">
        <w:rPr>
          <w:rStyle w:val="eop"/>
          <w:rFonts w:asciiTheme="minorHAnsi" w:hAnsiTheme="minorHAnsi" w:cstheme="minorHAnsi"/>
        </w:rPr>
        <w:t> </w:t>
      </w:r>
    </w:p>
    <w:p w14:paraId="6806FDE8" w14:textId="77777777" w:rsidR="00B27F04" w:rsidRPr="00146C13" w:rsidRDefault="00B27F04" w:rsidP="00B27F04">
      <w:pPr>
        <w:pStyle w:val="paragraph"/>
        <w:spacing w:before="0" w:beforeAutospacing="0" w:after="0" w:afterAutospacing="0"/>
        <w:textAlignment w:val="baseline"/>
        <w:rPr>
          <w:rFonts w:asciiTheme="minorHAnsi" w:hAnsiTheme="minorHAnsi" w:cstheme="minorHAnsi"/>
        </w:rPr>
      </w:pPr>
      <w:r w:rsidRPr="00146C13">
        <w:rPr>
          <w:rStyle w:val="normaltextrun"/>
          <w:rFonts w:asciiTheme="minorHAnsi" w:hAnsiTheme="minorHAnsi" w:cstheme="minorHAnsi"/>
        </w:rPr>
        <w:t>104 Greenhill Road</w:t>
      </w:r>
      <w:r w:rsidRPr="00146C13">
        <w:rPr>
          <w:rStyle w:val="eop"/>
          <w:rFonts w:asciiTheme="minorHAnsi" w:hAnsiTheme="minorHAnsi" w:cstheme="minorHAnsi"/>
        </w:rPr>
        <w:t> </w:t>
      </w:r>
    </w:p>
    <w:p w14:paraId="6F47894A" w14:textId="77777777" w:rsidR="00B27F04" w:rsidRPr="00146C13" w:rsidRDefault="00B27F04" w:rsidP="00B27F04">
      <w:pPr>
        <w:pStyle w:val="paragraph"/>
        <w:spacing w:before="0" w:beforeAutospacing="0" w:after="0" w:afterAutospacing="0"/>
        <w:textAlignment w:val="baseline"/>
        <w:rPr>
          <w:rFonts w:asciiTheme="minorHAnsi" w:hAnsiTheme="minorHAnsi" w:cstheme="minorHAnsi"/>
        </w:rPr>
      </w:pPr>
      <w:r w:rsidRPr="00146C13">
        <w:rPr>
          <w:rStyle w:val="normaltextrun"/>
          <w:rFonts w:asciiTheme="minorHAnsi" w:hAnsiTheme="minorHAnsi" w:cstheme="minorHAnsi"/>
        </w:rPr>
        <w:t>Unley SA 5061 AUSTRALIA</w:t>
      </w:r>
      <w:r w:rsidRPr="00146C13">
        <w:rPr>
          <w:rStyle w:val="eop"/>
          <w:rFonts w:asciiTheme="minorHAnsi" w:hAnsiTheme="minorHAnsi" w:cstheme="minorHAnsi"/>
        </w:rPr>
        <w:t> </w:t>
      </w:r>
    </w:p>
    <w:p w14:paraId="266ADE2F" w14:textId="77777777" w:rsidR="00B27F04" w:rsidRPr="00146C13" w:rsidRDefault="00B27F04" w:rsidP="00B27F04">
      <w:pPr>
        <w:pStyle w:val="paragraph"/>
        <w:spacing w:before="0" w:beforeAutospacing="0" w:after="0" w:afterAutospacing="0"/>
        <w:textAlignment w:val="baseline"/>
        <w:rPr>
          <w:rFonts w:asciiTheme="minorHAnsi" w:hAnsiTheme="minorHAnsi" w:cstheme="minorHAnsi"/>
        </w:rPr>
      </w:pPr>
      <w:r w:rsidRPr="00146C13">
        <w:rPr>
          <w:rStyle w:val="normaltextrun"/>
          <w:rFonts w:asciiTheme="minorHAnsi" w:hAnsiTheme="minorHAnsi" w:cstheme="minorHAnsi"/>
        </w:rPr>
        <w:t>Telephone: + 61 (8) 8373 8333</w:t>
      </w:r>
      <w:r w:rsidRPr="00146C13">
        <w:rPr>
          <w:rStyle w:val="eop"/>
          <w:rFonts w:asciiTheme="minorHAnsi" w:hAnsiTheme="minorHAnsi" w:cstheme="minorHAnsi"/>
        </w:rPr>
        <w:t> </w:t>
      </w:r>
    </w:p>
    <w:p w14:paraId="6CDA861E" w14:textId="77777777" w:rsidR="00B27F04" w:rsidRPr="00146C13" w:rsidRDefault="00B27F04" w:rsidP="00B27F04">
      <w:pPr>
        <w:pStyle w:val="paragraph"/>
        <w:spacing w:before="0" w:beforeAutospacing="0" w:after="0" w:afterAutospacing="0"/>
        <w:textAlignment w:val="baseline"/>
        <w:rPr>
          <w:rFonts w:asciiTheme="minorHAnsi" w:hAnsiTheme="minorHAnsi" w:cstheme="minorHAnsi"/>
        </w:rPr>
      </w:pPr>
      <w:r w:rsidRPr="00146C13">
        <w:rPr>
          <w:rStyle w:val="normaltextrun"/>
          <w:rFonts w:asciiTheme="minorHAnsi" w:hAnsiTheme="minorHAnsi" w:cstheme="minorHAnsi"/>
        </w:rPr>
        <w:t>Fax: + 61 (8) 8373 8373</w:t>
      </w:r>
      <w:r w:rsidRPr="00146C13">
        <w:rPr>
          <w:rStyle w:val="eop"/>
          <w:rFonts w:asciiTheme="minorHAnsi" w:hAnsiTheme="minorHAnsi" w:cstheme="minorHAnsi"/>
        </w:rPr>
        <w:t> </w:t>
      </w:r>
    </w:p>
    <w:p w14:paraId="16580CF6" w14:textId="77777777" w:rsidR="00B27F04" w:rsidRPr="00146C13" w:rsidRDefault="00B27F04" w:rsidP="00B27F04">
      <w:pPr>
        <w:pStyle w:val="paragraph"/>
        <w:spacing w:before="0" w:beforeAutospacing="0" w:after="0" w:afterAutospacing="0"/>
        <w:textAlignment w:val="baseline"/>
        <w:rPr>
          <w:rFonts w:asciiTheme="minorHAnsi" w:hAnsiTheme="minorHAnsi" w:cstheme="minorHAnsi"/>
        </w:rPr>
      </w:pPr>
      <w:r w:rsidRPr="00146C13">
        <w:rPr>
          <w:rStyle w:val="normaltextrun"/>
          <w:rFonts w:asciiTheme="minorHAnsi" w:hAnsiTheme="minorHAnsi" w:cstheme="minorHAnsi"/>
        </w:rPr>
        <w:t>Email: admin@purpleorange.org.au </w:t>
      </w:r>
      <w:r w:rsidRPr="00146C13">
        <w:rPr>
          <w:rStyle w:val="eop"/>
          <w:rFonts w:asciiTheme="minorHAnsi" w:hAnsiTheme="minorHAnsi" w:cstheme="minorHAnsi"/>
        </w:rPr>
        <w:t> </w:t>
      </w:r>
    </w:p>
    <w:p w14:paraId="4AF5E7BF" w14:textId="77777777" w:rsidR="00B27F04" w:rsidRPr="00146C13" w:rsidRDefault="00B27F04" w:rsidP="00B27F04">
      <w:pPr>
        <w:pStyle w:val="paragraph"/>
        <w:spacing w:before="0" w:beforeAutospacing="0" w:after="0" w:afterAutospacing="0"/>
        <w:textAlignment w:val="baseline"/>
        <w:rPr>
          <w:rFonts w:asciiTheme="minorHAnsi" w:hAnsiTheme="minorHAnsi" w:cstheme="minorHAnsi"/>
        </w:rPr>
      </w:pPr>
      <w:r w:rsidRPr="00146C13">
        <w:rPr>
          <w:rStyle w:val="normaltextrun"/>
          <w:rFonts w:asciiTheme="minorHAnsi" w:hAnsiTheme="minorHAnsi" w:cstheme="minorHAnsi"/>
        </w:rPr>
        <w:t>Website: www.purpleorange.org.au</w:t>
      </w:r>
      <w:r w:rsidRPr="00146C13">
        <w:rPr>
          <w:rStyle w:val="eop"/>
          <w:rFonts w:asciiTheme="minorHAnsi" w:hAnsiTheme="minorHAnsi" w:cstheme="minorHAnsi"/>
        </w:rPr>
        <w:t> </w:t>
      </w:r>
    </w:p>
    <w:p w14:paraId="56C874EF" w14:textId="77777777" w:rsidR="00B27F04" w:rsidRPr="00146C13" w:rsidRDefault="00B27F04" w:rsidP="00B27F04">
      <w:pPr>
        <w:pStyle w:val="paragraph"/>
        <w:spacing w:before="0" w:beforeAutospacing="0" w:after="0" w:afterAutospacing="0"/>
        <w:textAlignment w:val="baseline"/>
        <w:rPr>
          <w:rFonts w:asciiTheme="minorHAnsi" w:hAnsiTheme="minorHAnsi" w:cstheme="minorHAnsi"/>
        </w:rPr>
      </w:pPr>
      <w:r w:rsidRPr="00146C13">
        <w:rPr>
          <w:rStyle w:val="normaltextrun"/>
          <w:rFonts w:asciiTheme="minorHAnsi" w:hAnsiTheme="minorHAnsi" w:cstheme="minorHAnsi"/>
        </w:rPr>
        <w:t>Facebook: www.facebook.com/jfapurpleorange </w:t>
      </w:r>
      <w:r w:rsidRPr="00146C13">
        <w:rPr>
          <w:rStyle w:val="eop"/>
          <w:rFonts w:asciiTheme="minorHAnsi" w:hAnsiTheme="minorHAnsi" w:cstheme="minorHAnsi"/>
        </w:rPr>
        <w:t> </w:t>
      </w:r>
    </w:p>
    <w:p w14:paraId="27B36C5F" w14:textId="77777777" w:rsidR="007F6178" w:rsidRPr="00146C13" w:rsidRDefault="007F6178" w:rsidP="00B27F04">
      <w:pPr>
        <w:pStyle w:val="paragraph"/>
        <w:spacing w:before="0" w:beforeAutospacing="0" w:after="0" w:afterAutospacing="0"/>
        <w:textAlignment w:val="baseline"/>
        <w:rPr>
          <w:rStyle w:val="normaltextrun"/>
          <w:rFonts w:asciiTheme="minorHAnsi" w:hAnsiTheme="minorHAnsi" w:cstheme="minorHAnsi"/>
          <w:b/>
          <w:bCs/>
          <w:color w:val="7030A0"/>
        </w:rPr>
      </w:pPr>
    </w:p>
    <w:p w14:paraId="2CC8FB49" w14:textId="77777777" w:rsidR="007F6178" w:rsidRDefault="007F6178" w:rsidP="00B27F04">
      <w:pPr>
        <w:pStyle w:val="paragraph"/>
        <w:spacing w:before="0" w:beforeAutospacing="0" w:after="0" w:afterAutospacing="0"/>
        <w:textAlignment w:val="baseline"/>
        <w:rPr>
          <w:rStyle w:val="normaltextrun"/>
          <w:rFonts w:asciiTheme="minorHAnsi" w:hAnsiTheme="minorHAnsi" w:cstheme="minorHAnsi"/>
          <w:b/>
          <w:bCs/>
          <w:color w:val="7030A0"/>
        </w:rPr>
      </w:pPr>
    </w:p>
    <w:p w14:paraId="341D702D" w14:textId="77777777" w:rsidR="005B000A" w:rsidRDefault="005B000A" w:rsidP="00B27F04">
      <w:pPr>
        <w:pStyle w:val="paragraph"/>
        <w:spacing w:before="0" w:beforeAutospacing="0" w:after="0" w:afterAutospacing="0"/>
        <w:textAlignment w:val="baseline"/>
        <w:rPr>
          <w:rStyle w:val="normaltextrun"/>
          <w:rFonts w:asciiTheme="minorHAnsi" w:hAnsiTheme="minorHAnsi" w:cstheme="minorHAnsi"/>
          <w:b/>
          <w:bCs/>
          <w:color w:val="7030A0"/>
        </w:rPr>
      </w:pPr>
    </w:p>
    <w:p w14:paraId="0E02A878" w14:textId="77777777" w:rsidR="005B000A" w:rsidRDefault="005B000A" w:rsidP="00B27F04">
      <w:pPr>
        <w:pStyle w:val="paragraph"/>
        <w:spacing w:before="0" w:beforeAutospacing="0" w:after="0" w:afterAutospacing="0"/>
        <w:textAlignment w:val="baseline"/>
        <w:rPr>
          <w:rStyle w:val="normaltextrun"/>
          <w:rFonts w:asciiTheme="minorHAnsi" w:hAnsiTheme="minorHAnsi" w:cstheme="minorHAnsi"/>
          <w:b/>
          <w:bCs/>
          <w:color w:val="7030A0"/>
        </w:rPr>
      </w:pPr>
    </w:p>
    <w:p w14:paraId="53720682" w14:textId="77777777" w:rsidR="005B000A" w:rsidRDefault="005B000A" w:rsidP="00B27F04">
      <w:pPr>
        <w:pStyle w:val="paragraph"/>
        <w:spacing w:before="0" w:beforeAutospacing="0" w:after="0" w:afterAutospacing="0"/>
        <w:textAlignment w:val="baseline"/>
        <w:rPr>
          <w:rStyle w:val="normaltextrun"/>
          <w:rFonts w:asciiTheme="minorHAnsi" w:hAnsiTheme="minorHAnsi" w:cstheme="minorHAnsi"/>
          <w:b/>
          <w:bCs/>
          <w:color w:val="7030A0"/>
        </w:rPr>
      </w:pPr>
    </w:p>
    <w:p w14:paraId="7215B5AD" w14:textId="77777777" w:rsidR="005B000A" w:rsidRDefault="005B000A" w:rsidP="00B27F04">
      <w:pPr>
        <w:pStyle w:val="paragraph"/>
        <w:spacing w:before="0" w:beforeAutospacing="0" w:after="0" w:afterAutospacing="0"/>
        <w:textAlignment w:val="baseline"/>
        <w:rPr>
          <w:rStyle w:val="normaltextrun"/>
          <w:rFonts w:asciiTheme="minorHAnsi" w:hAnsiTheme="minorHAnsi" w:cstheme="minorHAnsi"/>
          <w:b/>
          <w:bCs/>
          <w:color w:val="7030A0"/>
        </w:rPr>
      </w:pPr>
    </w:p>
    <w:p w14:paraId="649F93F2" w14:textId="77777777" w:rsidR="005B000A" w:rsidRPr="00146C13" w:rsidRDefault="005B000A" w:rsidP="00B27F04">
      <w:pPr>
        <w:pStyle w:val="paragraph"/>
        <w:spacing w:before="0" w:beforeAutospacing="0" w:after="0" w:afterAutospacing="0"/>
        <w:textAlignment w:val="baseline"/>
        <w:rPr>
          <w:rStyle w:val="normaltextrun"/>
          <w:rFonts w:asciiTheme="minorHAnsi" w:hAnsiTheme="minorHAnsi" w:cstheme="minorHAnsi"/>
          <w:b/>
          <w:bCs/>
          <w:color w:val="7030A0"/>
        </w:rPr>
      </w:pPr>
    </w:p>
    <w:p w14:paraId="633AD9E7" w14:textId="29513E1F" w:rsidR="00B27F04" w:rsidRPr="00146C13" w:rsidRDefault="00B27F04" w:rsidP="00B27F04">
      <w:pPr>
        <w:pStyle w:val="paragraph"/>
        <w:spacing w:before="0" w:beforeAutospacing="0" w:after="0" w:afterAutospacing="0"/>
        <w:textAlignment w:val="baseline"/>
        <w:rPr>
          <w:rFonts w:asciiTheme="minorHAnsi" w:hAnsiTheme="minorHAnsi" w:cstheme="minorHAnsi"/>
        </w:rPr>
      </w:pPr>
      <w:r w:rsidRPr="00146C13">
        <w:rPr>
          <w:rStyle w:val="normaltextrun"/>
          <w:rFonts w:asciiTheme="minorHAnsi" w:hAnsiTheme="minorHAnsi" w:cstheme="minorHAnsi"/>
          <w:b/>
          <w:bCs/>
          <w:color w:val="7030A0"/>
        </w:rPr>
        <w:t>Contributors</w:t>
      </w:r>
      <w:r w:rsidRPr="00146C13">
        <w:rPr>
          <w:rStyle w:val="eop"/>
          <w:rFonts w:asciiTheme="minorHAnsi" w:hAnsiTheme="minorHAnsi" w:cstheme="minorHAnsi"/>
          <w:color w:val="7030A0"/>
        </w:rPr>
        <w:t> </w:t>
      </w:r>
    </w:p>
    <w:p w14:paraId="63C64E07" w14:textId="6E71E310" w:rsidR="00B27F04" w:rsidRPr="00146C13" w:rsidRDefault="00B27F04" w:rsidP="00B27F04">
      <w:pPr>
        <w:pStyle w:val="paragraph"/>
        <w:spacing w:before="0" w:beforeAutospacing="0" w:after="0" w:afterAutospacing="0"/>
        <w:textAlignment w:val="baseline"/>
        <w:rPr>
          <w:rFonts w:asciiTheme="minorHAnsi" w:hAnsiTheme="minorHAnsi" w:cstheme="minorHAnsi"/>
        </w:rPr>
      </w:pPr>
      <w:r w:rsidRPr="00146C13">
        <w:rPr>
          <w:rStyle w:val="normaltextrun"/>
          <w:rFonts w:asciiTheme="minorHAnsi" w:hAnsiTheme="minorHAnsi" w:cstheme="minorHAnsi"/>
          <w:color w:val="000000"/>
        </w:rPr>
        <w:t xml:space="preserve">James Murphy, </w:t>
      </w:r>
      <w:proofErr w:type="gramStart"/>
      <w:r w:rsidRPr="00146C13">
        <w:rPr>
          <w:rStyle w:val="normaltextrun"/>
          <w:rFonts w:asciiTheme="minorHAnsi" w:hAnsiTheme="minorHAnsi" w:cstheme="minorHAnsi"/>
          <w:color w:val="000000"/>
        </w:rPr>
        <w:t>Policy</w:t>
      </w:r>
      <w:proofErr w:type="gramEnd"/>
      <w:r w:rsidRPr="00146C13">
        <w:rPr>
          <w:rStyle w:val="normaltextrun"/>
          <w:rFonts w:asciiTheme="minorHAnsi" w:hAnsiTheme="minorHAnsi" w:cstheme="minorHAnsi"/>
          <w:color w:val="000000"/>
        </w:rPr>
        <w:t xml:space="preserve"> and Research </w:t>
      </w:r>
      <w:r w:rsidR="007F6178" w:rsidRPr="00146C13">
        <w:rPr>
          <w:rStyle w:val="normaltextrun"/>
          <w:rFonts w:asciiTheme="minorHAnsi" w:hAnsiTheme="minorHAnsi" w:cstheme="minorHAnsi"/>
          <w:color w:val="000000"/>
        </w:rPr>
        <w:t>Leader</w:t>
      </w:r>
      <w:r w:rsidRPr="00146C13">
        <w:rPr>
          <w:rStyle w:val="eop"/>
          <w:rFonts w:asciiTheme="minorHAnsi" w:hAnsiTheme="minorHAnsi" w:cstheme="minorHAnsi"/>
          <w:color w:val="000000"/>
        </w:rPr>
        <w:t> </w:t>
      </w:r>
    </w:p>
    <w:p w14:paraId="49AC5DF3" w14:textId="21C1E66E" w:rsidR="00B27F04" w:rsidRDefault="007F6178" w:rsidP="00B27F04">
      <w:pPr>
        <w:pStyle w:val="paragraph"/>
        <w:spacing w:before="0" w:beforeAutospacing="0" w:after="0" w:afterAutospacing="0"/>
        <w:textAlignment w:val="baseline"/>
        <w:rPr>
          <w:rStyle w:val="eop"/>
          <w:rFonts w:asciiTheme="minorHAnsi" w:hAnsiTheme="minorHAnsi" w:cstheme="minorHAnsi"/>
          <w:color w:val="000000"/>
        </w:rPr>
      </w:pPr>
      <w:r w:rsidRPr="00146C13">
        <w:rPr>
          <w:rStyle w:val="normaltextrun"/>
          <w:rFonts w:asciiTheme="minorHAnsi" w:hAnsiTheme="minorHAnsi" w:cstheme="minorHAnsi"/>
          <w:color w:val="000000"/>
        </w:rPr>
        <w:t>Rebecca Dowd</w:t>
      </w:r>
      <w:r w:rsidR="00B27F04" w:rsidRPr="00146C13">
        <w:rPr>
          <w:rStyle w:val="normaltextrun"/>
          <w:rFonts w:asciiTheme="minorHAnsi" w:hAnsiTheme="minorHAnsi" w:cstheme="minorHAnsi"/>
          <w:color w:val="000000"/>
        </w:rPr>
        <w:t>,</w:t>
      </w:r>
      <w:r w:rsidR="009154A1" w:rsidRPr="00146C13">
        <w:rPr>
          <w:rStyle w:val="normaltextrun"/>
          <w:rFonts w:asciiTheme="minorHAnsi" w:hAnsiTheme="minorHAnsi" w:cstheme="minorHAnsi"/>
          <w:color w:val="000000"/>
        </w:rPr>
        <w:t xml:space="preserve"> Manager, </w:t>
      </w:r>
      <w:proofErr w:type="gramStart"/>
      <w:r w:rsidR="009154A1" w:rsidRPr="00146C13">
        <w:rPr>
          <w:rStyle w:val="normaltextrun"/>
          <w:rFonts w:asciiTheme="minorHAnsi" w:hAnsiTheme="minorHAnsi" w:cstheme="minorHAnsi"/>
          <w:color w:val="000000"/>
        </w:rPr>
        <w:t>Policy</w:t>
      </w:r>
      <w:proofErr w:type="gramEnd"/>
      <w:r w:rsidR="009154A1" w:rsidRPr="00146C13">
        <w:rPr>
          <w:rStyle w:val="normaltextrun"/>
          <w:rFonts w:asciiTheme="minorHAnsi" w:hAnsiTheme="minorHAnsi" w:cstheme="minorHAnsi"/>
          <w:color w:val="000000"/>
        </w:rPr>
        <w:t xml:space="preserve"> and Projects </w:t>
      </w:r>
      <w:r w:rsidR="00B27F04" w:rsidRPr="00146C13">
        <w:rPr>
          <w:rStyle w:val="eop"/>
          <w:rFonts w:asciiTheme="minorHAnsi" w:hAnsiTheme="minorHAnsi" w:cstheme="minorHAnsi"/>
          <w:color w:val="000000"/>
        </w:rPr>
        <w:t> </w:t>
      </w:r>
    </w:p>
    <w:p w14:paraId="2DC69645" w14:textId="43651C85" w:rsidR="00A3047C" w:rsidRDefault="00A3047C" w:rsidP="00B27F04">
      <w:pPr>
        <w:pStyle w:val="paragraph"/>
        <w:spacing w:before="0" w:beforeAutospacing="0" w:after="0" w:afterAutospacing="0"/>
        <w:textAlignment w:val="baseline"/>
        <w:rPr>
          <w:rStyle w:val="eop"/>
          <w:rFonts w:asciiTheme="minorHAnsi" w:hAnsiTheme="minorHAnsi" w:cstheme="minorHAnsi"/>
          <w:color w:val="000000"/>
        </w:rPr>
      </w:pPr>
      <w:r>
        <w:rPr>
          <w:rStyle w:val="eop"/>
          <w:rFonts w:asciiTheme="minorHAnsi" w:hAnsiTheme="minorHAnsi" w:cstheme="minorHAnsi"/>
          <w:color w:val="000000"/>
        </w:rPr>
        <w:t xml:space="preserve">Tracey Wallace, Strategy Leader </w:t>
      </w:r>
    </w:p>
    <w:p w14:paraId="22F2679C" w14:textId="3028F187" w:rsidR="007371E9" w:rsidRPr="00146C13" w:rsidRDefault="007371E9" w:rsidP="00B27F04">
      <w:pPr>
        <w:pStyle w:val="paragraph"/>
        <w:spacing w:before="0" w:beforeAutospacing="0" w:after="0" w:afterAutospacing="0"/>
        <w:textAlignment w:val="baseline"/>
        <w:rPr>
          <w:rFonts w:asciiTheme="minorHAnsi" w:hAnsiTheme="minorHAnsi" w:cstheme="minorHAnsi"/>
        </w:rPr>
      </w:pPr>
      <w:r>
        <w:rPr>
          <w:rStyle w:val="eop"/>
          <w:rFonts w:asciiTheme="minorHAnsi" w:hAnsiTheme="minorHAnsi" w:cstheme="minorHAnsi"/>
          <w:color w:val="000000"/>
        </w:rPr>
        <w:t>Robbi Williams, CEO</w:t>
      </w:r>
    </w:p>
    <w:p w14:paraId="749D1355" w14:textId="2220C02B" w:rsidR="00B27F04" w:rsidRPr="00146C13" w:rsidRDefault="00B27F04" w:rsidP="00B27F04">
      <w:pPr>
        <w:pStyle w:val="paragraph"/>
        <w:spacing w:before="0" w:beforeAutospacing="0" w:after="0" w:afterAutospacing="0"/>
        <w:textAlignment w:val="baseline"/>
        <w:rPr>
          <w:rFonts w:asciiTheme="minorHAnsi" w:hAnsiTheme="minorHAnsi" w:cstheme="minorHAnsi"/>
        </w:rPr>
      </w:pPr>
      <w:r w:rsidRPr="00146C13">
        <w:rPr>
          <w:rStyle w:val="eop"/>
          <w:rFonts w:asciiTheme="minorHAnsi" w:hAnsiTheme="minorHAnsi" w:cstheme="minorHAnsi"/>
          <w:color w:val="000000"/>
        </w:rPr>
        <w:t> </w:t>
      </w:r>
    </w:p>
    <w:p w14:paraId="48FB9ED6" w14:textId="77777777" w:rsidR="00B27F04" w:rsidRPr="00146C13" w:rsidRDefault="00B27F04" w:rsidP="00B27F04">
      <w:pPr>
        <w:pStyle w:val="paragraph"/>
        <w:spacing w:before="0" w:beforeAutospacing="0" w:after="0" w:afterAutospacing="0"/>
        <w:textAlignment w:val="baseline"/>
        <w:rPr>
          <w:rFonts w:asciiTheme="minorHAnsi" w:hAnsiTheme="minorHAnsi" w:cstheme="minorHAnsi"/>
        </w:rPr>
      </w:pPr>
      <w:r w:rsidRPr="00146C13">
        <w:rPr>
          <w:rStyle w:val="eop"/>
          <w:rFonts w:asciiTheme="minorHAnsi" w:hAnsiTheme="minorHAnsi" w:cstheme="minorHAnsi"/>
        </w:rPr>
        <w:t> </w:t>
      </w:r>
    </w:p>
    <w:p w14:paraId="7809546D" w14:textId="77777777" w:rsidR="00B27F04" w:rsidRPr="00146C13" w:rsidRDefault="00B27F04" w:rsidP="00B27F04">
      <w:pPr>
        <w:pStyle w:val="paragraph"/>
        <w:spacing w:before="0" w:beforeAutospacing="0" w:after="0" w:afterAutospacing="0"/>
        <w:textAlignment w:val="baseline"/>
        <w:rPr>
          <w:rFonts w:asciiTheme="minorHAnsi" w:hAnsiTheme="minorHAnsi" w:cstheme="minorHAnsi"/>
        </w:rPr>
      </w:pPr>
      <w:r w:rsidRPr="00146C13">
        <w:rPr>
          <w:rStyle w:val="eop"/>
          <w:rFonts w:asciiTheme="minorHAnsi" w:hAnsiTheme="minorHAnsi" w:cstheme="minorHAnsi"/>
        </w:rPr>
        <w:t> </w:t>
      </w:r>
    </w:p>
    <w:p w14:paraId="18F8CDE4" w14:textId="111BD0BA" w:rsidR="00B27F04" w:rsidRPr="00146C13" w:rsidRDefault="00B27F04" w:rsidP="00B27F04">
      <w:pPr>
        <w:pStyle w:val="paragraph"/>
        <w:spacing w:before="0" w:beforeAutospacing="0" w:after="0" w:afterAutospacing="0"/>
        <w:textAlignment w:val="baseline"/>
        <w:rPr>
          <w:rFonts w:asciiTheme="minorHAnsi" w:hAnsiTheme="minorHAnsi" w:cstheme="minorHAnsi"/>
        </w:rPr>
      </w:pPr>
      <w:r w:rsidRPr="00146C13">
        <w:rPr>
          <w:rStyle w:val="normaltextrun"/>
          <w:rFonts w:asciiTheme="minorHAnsi" w:hAnsiTheme="minorHAnsi" w:cstheme="minorHAnsi"/>
        </w:rPr>
        <w:t xml:space="preserve">© </w:t>
      </w:r>
      <w:r w:rsidR="007F6178" w:rsidRPr="00146C13">
        <w:rPr>
          <w:rStyle w:val="normaltextrun"/>
          <w:rFonts w:asciiTheme="minorHAnsi" w:hAnsiTheme="minorHAnsi" w:cstheme="minorHAnsi"/>
        </w:rPr>
        <w:t>January</w:t>
      </w:r>
      <w:r w:rsidRPr="00146C13">
        <w:rPr>
          <w:rStyle w:val="normaltextrun"/>
          <w:rFonts w:asciiTheme="minorHAnsi" w:hAnsiTheme="minorHAnsi" w:cstheme="minorHAnsi"/>
        </w:rPr>
        <w:t xml:space="preserve"> 202</w:t>
      </w:r>
      <w:r w:rsidR="007F6178" w:rsidRPr="00146C13">
        <w:rPr>
          <w:rStyle w:val="normaltextrun"/>
          <w:rFonts w:asciiTheme="minorHAnsi" w:hAnsiTheme="minorHAnsi" w:cstheme="minorHAnsi"/>
        </w:rPr>
        <w:t>4</w:t>
      </w:r>
      <w:r w:rsidRPr="00146C13">
        <w:rPr>
          <w:rStyle w:val="normaltextrun"/>
          <w:rFonts w:asciiTheme="minorHAnsi" w:hAnsiTheme="minorHAnsi" w:cstheme="minorHAnsi"/>
        </w:rPr>
        <w:t xml:space="preserve"> Julia Farr Association Inc.</w:t>
      </w:r>
      <w:r w:rsidRPr="00146C13">
        <w:rPr>
          <w:rStyle w:val="eop"/>
          <w:rFonts w:asciiTheme="minorHAnsi" w:hAnsiTheme="minorHAnsi" w:cstheme="minorHAnsi"/>
          <w:color w:val="522E91"/>
        </w:rPr>
        <w:t> </w:t>
      </w:r>
    </w:p>
    <w:p w14:paraId="4ACB909C" w14:textId="77777777" w:rsidR="007F6178" w:rsidRPr="00146C13" w:rsidRDefault="00B27F04" w:rsidP="00B27F04">
      <w:pPr>
        <w:pStyle w:val="paragraph"/>
        <w:spacing w:before="0" w:beforeAutospacing="0" w:after="0" w:afterAutospacing="0"/>
        <w:textAlignment w:val="baseline"/>
        <w:rPr>
          <w:rStyle w:val="contentcontrolboundarysink"/>
          <w:rFonts w:asciiTheme="minorHAnsi" w:hAnsiTheme="minorHAnsi" w:cstheme="minorHAnsi"/>
          <w:shd w:val="clear" w:color="auto" w:fill="E6E6E6"/>
        </w:rPr>
      </w:pPr>
      <w:r w:rsidRPr="00146C13">
        <w:rPr>
          <w:rStyle w:val="contentcontrolboundarysink"/>
          <w:rFonts w:asciiTheme="minorHAnsi" w:hAnsiTheme="minorHAnsi" w:cstheme="minorHAnsi"/>
          <w:shd w:val="clear" w:color="auto" w:fill="E6E6E6"/>
        </w:rPr>
        <w:t>​​</w:t>
      </w:r>
    </w:p>
    <w:p w14:paraId="4D70B996" w14:textId="77777777" w:rsidR="007F6178" w:rsidRPr="00146C13" w:rsidRDefault="007F6178" w:rsidP="00B27F04">
      <w:pPr>
        <w:pStyle w:val="paragraph"/>
        <w:spacing w:before="0" w:beforeAutospacing="0" w:after="0" w:afterAutospacing="0"/>
        <w:textAlignment w:val="baseline"/>
        <w:rPr>
          <w:rStyle w:val="contentcontrolboundarysink"/>
          <w:rFonts w:asciiTheme="minorHAnsi" w:hAnsiTheme="minorHAnsi" w:cstheme="minorHAnsi"/>
          <w:shd w:val="clear" w:color="auto" w:fill="E6E6E6"/>
        </w:rPr>
      </w:pPr>
    </w:p>
    <w:p w14:paraId="427D538D" w14:textId="77777777" w:rsidR="007F6178" w:rsidRPr="00146C13" w:rsidRDefault="007F6178" w:rsidP="00B27F04">
      <w:pPr>
        <w:pStyle w:val="paragraph"/>
        <w:spacing w:before="0" w:beforeAutospacing="0" w:after="0" w:afterAutospacing="0"/>
        <w:textAlignment w:val="baseline"/>
        <w:rPr>
          <w:rStyle w:val="contentcontrolboundarysink"/>
          <w:rFonts w:asciiTheme="minorHAnsi" w:hAnsiTheme="minorHAnsi" w:cstheme="minorHAnsi"/>
          <w:shd w:val="clear" w:color="auto" w:fill="E6E6E6"/>
        </w:rPr>
      </w:pPr>
    </w:p>
    <w:p w14:paraId="294B1201" w14:textId="77777777" w:rsidR="007F6178" w:rsidRPr="00146C13" w:rsidRDefault="007F6178" w:rsidP="00B27F04">
      <w:pPr>
        <w:pStyle w:val="paragraph"/>
        <w:spacing w:before="0" w:beforeAutospacing="0" w:after="0" w:afterAutospacing="0"/>
        <w:textAlignment w:val="baseline"/>
        <w:rPr>
          <w:rStyle w:val="contentcontrolboundarysink"/>
          <w:rFonts w:asciiTheme="minorHAnsi" w:hAnsiTheme="minorHAnsi" w:cstheme="minorHAnsi"/>
          <w:shd w:val="clear" w:color="auto" w:fill="E6E6E6"/>
        </w:rPr>
      </w:pPr>
    </w:p>
    <w:p w14:paraId="1FB0251B" w14:textId="77777777" w:rsidR="007F6178" w:rsidRPr="00146C13" w:rsidRDefault="007F6178" w:rsidP="00B27F04">
      <w:pPr>
        <w:pStyle w:val="paragraph"/>
        <w:spacing w:before="0" w:beforeAutospacing="0" w:after="0" w:afterAutospacing="0"/>
        <w:textAlignment w:val="baseline"/>
        <w:rPr>
          <w:rStyle w:val="contentcontrolboundarysink"/>
          <w:rFonts w:asciiTheme="minorHAnsi" w:hAnsiTheme="minorHAnsi" w:cstheme="minorHAnsi"/>
          <w:shd w:val="clear" w:color="auto" w:fill="E6E6E6"/>
        </w:rPr>
      </w:pPr>
    </w:p>
    <w:p w14:paraId="74253230" w14:textId="77777777" w:rsidR="007F6178" w:rsidRPr="00146C13" w:rsidRDefault="007F6178" w:rsidP="00B27F04">
      <w:pPr>
        <w:pStyle w:val="paragraph"/>
        <w:spacing w:before="0" w:beforeAutospacing="0" w:after="0" w:afterAutospacing="0"/>
        <w:textAlignment w:val="baseline"/>
        <w:rPr>
          <w:rStyle w:val="contentcontrolboundarysink"/>
          <w:rFonts w:asciiTheme="minorHAnsi" w:hAnsiTheme="minorHAnsi" w:cstheme="minorHAnsi"/>
          <w:shd w:val="clear" w:color="auto" w:fill="E6E6E6"/>
        </w:rPr>
      </w:pPr>
    </w:p>
    <w:p w14:paraId="65CE3519" w14:textId="77777777" w:rsidR="007F6178" w:rsidRPr="00146C13" w:rsidRDefault="007F6178" w:rsidP="00B27F04">
      <w:pPr>
        <w:pStyle w:val="paragraph"/>
        <w:spacing w:before="0" w:beforeAutospacing="0" w:after="0" w:afterAutospacing="0"/>
        <w:textAlignment w:val="baseline"/>
        <w:rPr>
          <w:rStyle w:val="contentcontrolboundarysink"/>
          <w:rFonts w:asciiTheme="minorHAnsi" w:hAnsiTheme="minorHAnsi" w:cstheme="minorHAnsi"/>
          <w:shd w:val="clear" w:color="auto" w:fill="E6E6E6"/>
        </w:rPr>
      </w:pPr>
    </w:p>
    <w:p w14:paraId="227EAE7B" w14:textId="77777777" w:rsidR="007F6178" w:rsidRPr="00146C13" w:rsidRDefault="007F6178" w:rsidP="00B27F04">
      <w:pPr>
        <w:pStyle w:val="paragraph"/>
        <w:spacing w:before="0" w:beforeAutospacing="0" w:after="0" w:afterAutospacing="0"/>
        <w:textAlignment w:val="baseline"/>
        <w:rPr>
          <w:rStyle w:val="contentcontrolboundarysink"/>
          <w:rFonts w:asciiTheme="minorHAnsi" w:hAnsiTheme="minorHAnsi" w:cstheme="minorHAnsi"/>
          <w:shd w:val="clear" w:color="auto" w:fill="E6E6E6"/>
        </w:rPr>
      </w:pPr>
    </w:p>
    <w:p w14:paraId="7E8E8C81" w14:textId="422F9021" w:rsidR="004D5A3E" w:rsidRPr="007371E9" w:rsidRDefault="00CE3F2B" w:rsidP="003E6EEA">
      <w:pPr>
        <w:pStyle w:val="TOCHeading"/>
        <w:rPr>
          <w:rFonts w:cstheme="minorHAnsi"/>
          <w:b/>
          <w:bCs/>
          <w:color w:val="7030A0"/>
          <w:sz w:val="24"/>
          <w:szCs w:val="24"/>
        </w:rPr>
      </w:pPr>
      <w:r w:rsidRPr="007371E9">
        <w:rPr>
          <w:b/>
          <w:bCs/>
          <w:color w:val="7030A0"/>
        </w:rPr>
        <w:t>Contents</w:t>
      </w:r>
    </w:p>
    <w:sdt>
      <w:sdtPr>
        <w:rPr>
          <w:rFonts w:asciiTheme="minorHAnsi" w:eastAsiaTheme="minorHAnsi" w:hAnsiTheme="minorHAnsi" w:cstheme="minorBidi"/>
          <w:color w:val="auto"/>
          <w:kern w:val="2"/>
          <w:sz w:val="22"/>
          <w:szCs w:val="22"/>
          <w:lang w:val="en-AU"/>
          <w14:ligatures w14:val="standardContextual"/>
        </w:rPr>
        <w:id w:val="1363060815"/>
        <w:docPartObj>
          <w:docPartGallery w:val="Table of Contents"/>
          <w:docPartUnique/>
        </w:docPartObj>
      </w:sdtPr>
      <w:sdtEndPr/>
      <w:sdtContent>
        <w:p w14:paraId="708DFCE7" w14:textId="72D1F795" w:rsidR="006A2C36" w:rsidRPr="000E437B" w:rsidRDefault="006A2C36">
          <w:pPr>
            <w:pStyle w:val="TOCHeading"/>
          </w:pPr>
        </w:p>
        <w:p w14:paraId="1E499281" w14:textId="1C5C5716" w:rsidR="007607A8" w:rsidRDefault="004A413A">
          <w:pPr>
            <w:pStyle w:val="TOC1"/>
            <w:tabs>
              <w:tab w:val="right" w:leader="dot" w:pos="9016"/>
            </w:tabs>
            <w:rPr>
              <w:rFonts w:eastAsiaTheme="minorEastAsia"/>
              <w:noProof/>
              <w:lang w:eastAsia="en-AU"/>
            </w:rPr>
          </w:pPr>
          <w:r w:rsidRPr="00162FF8">
            <w:fldChar w:fldCharType="begin"/>
          </w:r>
          <w:r w:rsidR="006A2C36" w:rsidRPr="00162FF8">
            <w:instrText>TOC \o "1-3" \h \z \u</w:instrText>
          </w:r>
          <w:r w:rsidRPr="00162FF8">
            <w:fldChar w:fldCharType="separate"/>
          </w:r>
          <w:hyperlink w:anchor="_Toc156546014" w:history="1">
            <w:r w:rsidR="007607A8" w:rsidRPr="00E818DD">
              <w:rPr>
                <w:rStyle w:val="Hyperlink"/>
                <w:noProof/>
                <w:shd w:val="clear" w:color="auto" w:fill="FFFFFF"/>
              </w:rPr>
              <w:t>1. Summary and recommendations</w:t>
            </w:r>
            <w:r w:rsidR="007607A8">
              <w:rPr>
                <w:noProof/>
                <w:webHidden/>
              </w:rPr>
              <w:tab/>
            </w:r>
            <w:r w:rsidR="007607A8">
              <w:rPr>
                <w:noProof/>
                <w:webHidden/>
              </w:rPr>
              <w:fldChar w:fldCharType="begin"/>
            </w:r>
            <w:r w:rsidR="007607A8">
              <w:rPr>
                <w:noProof/>
                <w:webHidden/>
              </w:rPr>
              <w:instrText xml:space="preserve"> PAGEREF _Toc156546014 \h </w:instrText>
            </w:r>
            <w:r w:rsidR="007607A8">
              <w:rPr>
                <w:noProof/>
                <w:webHidden/>
              </w:rPr>
            </w:r>
            <w:r w:rsidR="007607A8">
              <w:rPr>
                <w:noProof/>
                <w:webHidden/>
              </w:rPr>
              <w:fldChar w:fldCharType="separate"/>
            </w:r>
            <w:r w:rsidR="007607A8">
              <w:rPr>
                <w:noProof/>
                <w:webHidden/>
              </w:rPr>
              <w:t>4</w:t>
            </w:r>
            <w:r w:rsidR="007607A8">
              <w:rPr>
                <w:noProof/>
                <w:webHidden/>
              </w:rPr>
              <w:fldChar w:fldCharType="end"/>
            </w:r>
          </w:hyperlink>
        </w:p>
        <w:p w14:paraId="07861005" w14:textId="7AF6A291" w:rsidR="007607A8" w:rsidRDefault="0001292E">
          <w:pPr>
            <w:pStyle w:val="TOC1"/>
            <w:tabs>
              <w:tab w:val="right" w:leader="dot" w:pos="9016"/>
            </w:tabs>
            <w:rPr>
              <w:rFonts w:eastAsiaTheme="minorEastAsia"/>
              <w:noProof/>
              <w:lang w:eastAsia="en-AU"/>
            </w:rPr>
          </w:pPr>
          <w:hyperlink w:anchor="_Toc156546015" w:history="1">
            <w:r w:rsidR="007607A8" w:rsidRPr="00E818DD">
              <w:rPr>
                <w:rStyle w:val="Hyperlink"/>
                <w:noProof/>
                <w:shd w:val="clear" w:color="auto" w:fill="FFFFFF"/>
              </w:rPr>
              <w:t>2. Introduction</w:t>
            </w:r>
            <w:r w:rsidR="007607A8">
              <w:rPr>
                <w:noProof/>
                <w:webHidden/>
              </w:rPr>
              <w:tab/>
            </w:r>
            <w:r w:rsidR="007607A8">
              <w:rPr>
                <w:noProof/>
                <w:webHidden/>
              </w:rPr>
              <w:fldChar w:fldCharType="begin"/>
            </w:r>
            <w:r w:rsidR="007607A8">
              <w:rPr>
                <w:noProof/>
                <w:webHidden/>
              </w:rPr>
              <w:instrText xml:space="preserve"> PAGEREF _Toc156546015 \h </w:instrText>
            </w:r>
            <w:r w:rsidR="007607A8">
              <w:rPr>
                <w:noProof/>
                <w:webHidden/>
              </w:rPr>
            </w:r>
            <w:r w:rsidR="007607A8">
              <w:rPr>
                <w:noProof/>
                <w:webHidden/>
              </w:rPr>
              <w:fldChar w:fldCharType="separate"/>
            </w:r>
            <w:r w:rsidR="007607A8">
              <w:rPr>
                <w:noProof/>
                <w:webHidden/>
              </w:rPr>
              <w:t>7</w:t>
            </w:r>
            <w:r w:rsidR="007607A8">
              <w:rPr>
                <w:noProof/>
                <w:webHidden/>
              </w:rPr>
              <w:fldChar w:fldCharType="end"/>
            </w:r>
          </w:hyperlink>
        </w:p>
        <w:p w14:paraId="3D214949" w14:textId="075BAC92" w:rsidR="007607A8" w:rsidRDefault="0001292E">
          <w:pPr>
            <w:pStyle w:val="TOC1"/>
            <w:tabs>
              <w:tab w:val="right" w:leader="dot" w:pos="9016"/>
            </w:tabs>
            <w:rPr>
              <w:rFonts w:eastAsiaTheme="minorEastAsia"/>
              <w:noProof/>
              <w:lang w:eastAsia="en-AU"/>
            </w:rPr>
          </w:pPr>
          <w:hyperlink w:anchor="_Toc156546016" w:history="1">
            <w:r w:rsidR="007607A8" w:rsidRPr="00E818DD">
              <w:rPr>
                <w:rStyle w:val="Hyperlink"/>
                <w:noProof/>
                <w:shd w:val="clear" w:color="auto" w:fill="FFFFFF"/>
              </w:rPr>
              <w:t>3. Principles</w:t>
            </w:r>
            <w:r w:rsidR="007607A8">
              <w:rPr>
                <w:noProof/>
                <w:webHidden/>
              </w:rPr>
              <w:tab/>
            </w:r>
            <w:r w:rsidR="007607A8">
              <w:rPr>
                <w:noProof/>
                <w:webHidden/>
              </w:rPr>
              <w:fldChar w:fldCharType="begin"/>
            </w:r>
            <w:r w:rsidR="007607A8">
              <w:rPr>
                <w:noProof/>
                <w:webHidden/>
              </w:rPr>
              <w:instrText xml:space="preserve"> PAGEREF _Toc156546016 \h </w:instrText>
            </w:r>
            <w:r w:rsidR="007607A8">
              <w:rPr>
                <w:noProof/>
                <w:webHidden/>
              </w:rPr>
            </w:r>
            <w:r w:rsidR="007607A8">
              <w:rPr>
                <w:noProof/>
                <w:webHidden/>
              </w:rPr>
              <w:fldChar w:fldCharType="separate"/>
            </w:r>
            <w:r w:rsidR="007607A8">
              <w:rPr>
                <w:noProof/>
                <w:webHidden/>
              </w:rPr>
              <w:t>8</w:t>
            </w:r>
            <w:r w:rsidR="007607A8">
              <w:rPr>
                <w:noProof/>
                <w:webHidden/>
              </w:rPr>
              <w:fldChar w:fldCharType="end"/>
            </w:r>
          </w:hyperlink>
        </w:p>
        <w:p w14:paraId="41055B92" w14:textId="1D20C2FC" w:rsidR="007607A8" w:rsidRDefault="0001292E">
          <w:pPr>
            <w:pStyle w:val="TOC1"/>
            <w:tabs>
              <w:tab w:val="right" w:leader="dot" w:pos="9016"/>
            </w:tabs>
            <w:rPr>
              <w:rFonts w:eastAsiaTheme="minorEastAsia"/>
              <w:noProof/>
              <w:lang w:eastAsia="en-AU"/>
            </w:rPr>
          </w:pPr>
          <w:hyperlink w:anchor="_Toc156546017" w:history="1">
            <w:r w:rsidR="007607A8" w:rsidRPr="00E818DD">
              <w:rPr>
                <w:rStyle w:val="Hyperlink"/>
                <w:noProof/>
                <w:shd w:val="clear" w:color="auto" w:fill="FFFFFF"/>
              </w:rPr>
              <w:t>4. Co-Design</w:t>
            </w:r>
            <w:r w:rsidR="007607A8">
              <w:rPr>
                <w:noProof/>
                <w:webHidden/>
              </w:rPr>
              <w:tab/>
            </w:r>
            <w:r w:rsidR="007607A8">
              <w:rPr>
                <w:noProof/>
                <w:webHidden/>
              </w:rPr>
              <w:fldChar w:fldCharType="begin"/>
            </w:r>
            <w:r w:rsidR="007607A8">
              <w:rPr>
                <w:noProof/>
                <w:webHidden/>
              </w:rPr>
              <w:instrText xml:space="preserve"> PAGEREF _Toc156546017 \h </w:instrText>
            </w:r>
            <w:r w:rsidR="007607A8">
              <w:rPr>
                <w:noProof/>
                <w:webHidden/>
              </w:rPr>
            </w:r>
            <w:r w:rsidR="007607A8">
              <w:rPr>
                <w:noProof/>
                <w:webHidden/>
              </w:rPr>
              <w:fldChar w:fldCharType="separate"/>
            </w:r>
            <w:r w:rsidR="007607A8">
              <w:rPr>
                <w:noProof/>
                <w:webHidden/>
              </w:rPr>
              <w:t>11</w:t>
            </w:r>
            <w:r w:rsidR="007607A8">
              <w:rPr>
                <w:noProof/>
                <w:webHidden/>
              </w:rPr>
              <w:fldChar w:fldCharType="end"/>
            </w:r>
          </w:hyperlink>
        </w:p>
        <w:p w14:paraId="0596D904" w14:textId="5C73D7E6" w:rsidR="007607A8" w:rsidRDefault="0001292E">
          <w:pPr>
            <w:pStyle w:val="TOC2"/>
            <w:rPr>
              <w:rFonts w:eastAsiaTheme="minorEastAsia"/>
              <w:noProof/>
              <w:lang w:eastAsia="en-AU"/>
            </w:rPr>
          </w:pPr>
          <w:hyperlink w:anchor="_Toc156546018" w:history="1">
            <w:r w:rsidR="007607A8" w:rsidRPr="00E818DD">
              <w:rPr>
                <w:rStyle w:val="Hyperlink"/>
                <w:noProof/>
              </w:rPr>
              <w:t>4.1 Importance of Co-Design</w:t>
            </w:r>
            <w:r w:rsidR="007607A8">
              <w:rPr>
                <w:noProof/>
                <w:webHidden/>
              </w:rPr>
              <w:tab/>
            </w:r>
            <w:r w:rsidR="007607A8">
              <w:rPr>
                <w:noProof/>
                <w:webHidden/>
              </w:rPr>
              <w:fldChar w:fldCharType="begin"/>
            </w:r>
            <w:r w:rsidR="007607A8">
              <w:rPr>
                <w:noProof/>
                <w:webHidden/>
              </w:rPr>
              <w:instrText xml:space="preserve"> PAGEREF _Toc156546018 \h </w:instrText>
            </w:r>
            <w:r w:rsidR="007607A8">
              <w:rPr>
                <w:noProof/>
                <w:webHidden/>
              </w:rPr>
            </w:r>
            <w:r w:rsidR="007607A8">
              <w:rPr>
                <w:noProof/>
                <w:webHidden/>
              </w:rPr>
              <w:fldChar w:fldCharType="separate"/>
            </w:r>
            <w:r w:rsidR="007607A8">
              <w:rPr>
                <w:noProof/>
                <w:webHidden/>
              </w:rPr>
              <w:t>11</w:t>
            </w:r>
            <w:r w:rsidR="007607A8">
              <w:rPr>
                <w:noProof/>
                <w:webHidden/>
              </w:rPr>
              <w:fldChar w:fldCharType="end"/>
            </w:r>
          </w:hyperlink>
        </w:p>
        <w:p w14:paraId="0710344A" w14:textId="08F5189D" w:rsidR="007607A8" w:rsidRDefault="0001292E">
          <w:pPr>
            <w:pStyle w:val="TOC2"/>
            <w:rPr>
              <w:rFonts w:eastAsiaTheme="minorEastAsia"/>
              <w:noProof/>
              <w:lang w:eastAsia="en-AU"/>
            </w:rPr>
          </w:pPr>
          <w:hyperlink w:anchor="_Toc156546019" w:history="1">
            <w:r w:rsidR="007607A8" w:rsidRPr="00E818DD">
              <w:rPr>
                <w:rStyle w:val="Hyperlink"/>
                <w:noProof/>
              </w:rPr>
              <w:t>4.2 Need for Co-Designed Training and Education</w:t>
            </w:r>
            <w:r w:rsidR="007607A8">
              <w:rPr>
                <w:noProof/>
                <w:webHidden/>
              </w:rPr>
              <w:tab/>
            </w:r>
            <w:r w:rsidR="007607A8">
              <w:rPr>
                <w:noProof/>
                <w:webHidden/>
              </w:rPr>
              <w:fldChar w:fldCharType="begin"/>
            </w:r>
            <w:r w:rsidR="007607A8">
              <w:rPr>
                <w:noProof/>
                <w:webHidden/>
              </w:rPr>
              <w:instrText xml:space="preserve"> PAGEREF _Toc156546019 \h </w:instrText>
            </w:r>
            <w:r w:rsidR="007607A8">
              <w:rPr>
                <w:noProof/>
                <w:webHidden/>
              </w:rPr>
            </w:r>
            <w:r w:rsidR="007607A8">
              <w:rPr>
                <w:noProof/>
                <w:webHidden/>
              </w:rPr>
              <w:fldChar w:fldCharType="separate"/>
            </w:r>
            <w:r w:rsidR="007607A8">
              <w:rPr>
                <w:noProof/>
                <w:webHidden/>
              </w:rPr>
              <w:t>11</w:t>
            </w:r>
            <w:r w:rsidR="007607A8">
              <w:rPr>
                <w:noProof/>
                <w:webHidden/>
              </w:rPr>
              <w:fldChar w:fldCharType="end"/>
            </w:r>
          </w:hyperlink>
        </w:p>
        <w:p w14:paraId="13B2B973" w14:textId="5D6CB4DE" w:rsidR="007607A8" w:rsidRDefault="0001292E">
          <w:pPr>
            <w:pStyle w:val="TOC2"/>
            <w:rPr>
              <w:rFonts w:eastAsiaTheme="minorEastAsia"/>
              <w:noProof/>
              <w:lang w:eastAsia="en-AU"/>
            </w:rPr>
          </w:pPr>
          <w:hyperlink w:anchor="_Toc156546020" w:history="1">
            <w:r w:rsidR="007607A8" w:rsidRPr="00E818DD">
              <w:rPr>
                <w:rStyle w:val="Hyperlink"/>
                <w:noProof/>
              </w:rPr>
              <w:t>4.3 Administrative Review Council’s Training and Education Function</w:t>
            </w:r>
            <w:r w:rsidR="007607A8">
              <w:rPr>
                <w:noProof/>
                <w:webHidden/>
              </w:rPr>
              <w:tab/>
            </w:r>
            <w:r w:rsidR="007607A8">
              <w:rPr>
                <w:noProof/>
                <w:webHidden/>
              </w:rPr>
              <w:fldChar w:fldCharType="begin"/>
            </w:r>
            <w:r w:rsidR="007607A8">
              <w:rPr>
                <w:noProof/>
                <w:webHidden/>
              </w:rPr>
              <w:instrText xml:space="preserve"> PAGEREF _Toc156546020 \h </w:instrText>
            </w:r>
            <w:r w:rsidR="007607A8">
              <w:rPr>
                <w:noProof/>
                <w:webHidden/>
              </w:rPr>
            </w:r>
            <w:r w:rsidR="007607A8">
              <w:rPr>
                <w:noProof/>
                <w:webHidden/>
              </w:rPr>
              <w:fldChar w:fldCharType="separate"/>
            </w:r>
            <w:r w:rsidR="007607A8">
              <w:rPr>
                <w:noProof/>
                <w:webHidden/>
              </w:rPr>
              <w:t>12</w:t>
            </w:r>
            <w:r w:rsidR="007607A8">
              <w:rPr>
                <w:noProof/>
                <w:webHidden/>
              </w:rPr>
              <w:fldChar w:fldCharType="end"/>
            </w:r>
          </w:hyperlink>
        </w:p>
        <w:p w14:paraId="4A813DF4" w14:textId="6B221DB0" w:rsidR="007607A8" w:rsidRDefault="0001292E">
          <w:pPr>
            <w:pStyle w:val="TOC1"/>
            <w:tabs>
              <w:tab w:val="right" w:leader="dot" w:pos="9016"/>
            </w:tabs>
            <w:rPr>
              <w:rFonts w:eastAsiaTheme="minorEastAsia"/>
              <w:noProof/>
              <w:lang w:eastAsia="en-AU"/>
            </w:rPr>
          </w:pPr>
          <w:hyperlink w:anchor="_Toc156546021" w:history="1">
            <w:r w:rsidR="007607A8" w:rsidRPr="00E818DD">
              <w:rPr>
                <w:rStyle w:val="Hyperlink"/>
                <w:noProof/>
                <w:shd w:val="clear" w:color="auto" w:fill="FFFFFF"/>
              </w:rPr>
              <w:t>5. Tribunal Member Targets</w:t>
            </w:r>
            <w:r w:rsidR="007607A8">
              <w:rPr>
                <w:noProof/>
                <w:webHidden/>
              </w:rPr>
              <w:tab/>
            </w:r>
            <w:r w:rsidR="007607A8">
              <w:rPr>
                <w:noProof/>
                <w:webHidden/>
              </w:rPr>
              <w:fldChar w:fldCharType="begin"/>
            </w:r>
            <w:r w:rsidR="007607A8">
              <w:rPr>
                <w:noProof/>
                <w:webHidden/>
              </w:rPr>
              <w:instrText xml:space="preserve"> PAGEREF _Toc156546021 \h </w:instrText>
            </w:r>
            <w:r w:rsidR="007607A8">
              <w:rPr>
                <w:noProof/>
                <w:webHidden/>
              </w:rPr>
            </w:r>
            <w:r w:rsidR="007607A8">
              <w:rPr>
                <w:noProof/>
                <w:webHidden/>
              </w:rPr>
              <w:fldChar w:fldCharType="separate"/>
            </w:r>
            <w:r w:rsidR="007607A8">
              <w:rPr>
                <w:noProof/>
                <w:webHidden/>
              </w:rPr>
              <w:t>13</w:t>
            </w:r>
            <w:r w:rsidR="007607A8">
              <w:rPr>
                <w:noProof/>
                <w:webHidden/>
              </w:rPr>
              <w:fldChar w:fldCharType="end"/>
            </w:r>
          </w:hyperlink>
        </w:p>
        <w:p w14:paraId="5B3296ED" w14:textId="51DAD31D" w:rsidR="007607A8" w:rsidRDefault="0001292E">
          <w:pPr>
            <w:pStyle w:val="TOC1"/>
            <w:tabs>
              <w:tab w:val="right" w:leader="dot" w:pos="9016"/>
            </w:tabs>
            <w:rPr>
              <w:rFonts w:eastAsiaTheme="minorEastAsia"/>
              <w:noProof/>
              <w:lang w:eastAsia="en-AU"/>
            </w:rPr>
          </w:pPr>
          <w:hyperlink w:anchor="_Toc156546022" w:history="1">
            <w:r w:rsidR="007607A8" w:rsidRPr="00E818DD">
              <w:rPr>
                <w:rStyle w:val="Hyperlink"/>
                <w:noProof/>
                <w:shd w:val="clear" w:color="auto" w:fill="FFFFFF"/>
              </w:rPr>
              <w:t>6. Accessible and Inclusive Communication</w:t>
            </w:r>
            <w:r w:rsidR="007607A8">
              <w:rPr>
                <w:noProof/>
                <w:webHidden/>
              </w:rPr>
              <w:tab/>
            </w:r>
            <w:r w:rsidR="007607A8">
              <w:rPr>
                <w:noProof/>
                <w:webHidden/>
              </w:rPr>
              <w:fldChar w:fldCharType="begin"/>
            </w:r>
            <w:r w:rsidR="007607A8">
              <w:rPr>
                <w:noProof/>
                <w:webHidden/>
              </w:rPr>
              <w:instrText xml:space="preserve"> PAGEREF _Toc156546022 \h </w:instrText>
            </w:r>
            <w:r w:rsidR="007607A8">
              <w:rPr>
                <w:noProof/>
                <w:webHidden/>
              </w:rPr>
            </w:r>
            <w:r w:rsidR="007607A8">
              <w:rPr>
                <w:noProof/>
                <w:webHidden/>
              </w:rPr>
              <w:fldChar w:fldCharType="separate"/>
            </w:r>
            <w:r w:rsidR="007607A8">
              <w:rPr>
                <w:noProof/>
                <w:webHidden/>
              </w:rPr>
              <w:t>15</w:t>
            </w:r>
            <w:r w:rsidR="007607A8">
              <w:rPr>
                <w:noProof/>
                <w:webHidden/>
              </w:rPr>
              <w:fldChar w:fldCharType="end"/>
            </w:r>
          </w:hyperlink>
        </w:p>
        <w:p w14:paraId="3ED4E168" w14:textId="2ED4BE6B" w:rsidR="007607A8" w:rsidRDefault="0001292E">
          <w:pPr>
            <w:pStyle w:val="TOC2"/>
            <w:rPr>
              <w:rFonts w:eastAsiaTheme="minorEastAsia"/>
              <w:noProof/>
              <w:lang w:eastAsia="en-AU"/>
            </w:rPr>
          </w:pPr>
          <w:hyperlink w:anchor="_Toc156546023" w:history="1">
            <w:r w:rsidR="007607A8" w:rsidRPr="00E818DD">
              <w:rPr>
                <w:rStyle w:val="Hyperlink"/>
                <w:noProof/>
              </w:rPr>
              <w:t>6.1 Fully Accessible</w:t>
            </w:r>
            <w:r w:rsidR="007607A8">
              <w:rPr>
                <w:noProof/>
                <w:webHidden/>
              </w:rPr>
              <w:tab/>
            </w:r>
            <w:r w:rsidR="007607A8">
              <w:rPr>
                <w:noProof/>
                <w:webHidden/>
              </w:rPr>
              <w:fldChar w:fldCharType="begin"/>
            </w:r>
            <w:r w:rsidR="007607A8">
              <w:rPr>
                <w:noProof/>
                <w:webHidden/>
              </w:rPr>
              <w:instrText xml:space="preserve"> PAGEREF _Toc156546023 \h </w:instrText>
            </w:r>
            <w:r w:rsidR="007607A8">
              <w:rPr>
                <w:noProof/>
                <w:webHidden/>
              </w:rPr>
            </w:r>
            <w:r w:rsidR="007607A8">
              <w:rPr>
                <w:noProof/>
                <w:webHidden/>
              </w:rPr>
              <w:fldChar w:fldCharType="separate"/>
            </w:r>
            <w:r w:rsidR="007607A8">
              <w:rPr>
                <w:noProof/>
                <w:webHidden/>
              </w:rPr>
              <w:t>15</w:t>
            </w:r>
            <w:r w:rsidR="007607A8">
              <w:rPr>
                <w:noProof/>
                <w:webHidden/>
              </w:rPr>
              <w:fldChar w:fldCharType="end"/>
            </w:r>
          </w:hyperlink>
        </w:p>
        <w:p w14:paraId="07D82E6C" w14:textId="53FA667F" w:rsidR="007607A8" w:rsidRDefault="0001292E">
          <w:pPr>
            <w:pStyle w:val="TOC2"/>
            <w:rPr>
              <w:rFonts w:eastAsiaTheme="minorEastAsia"/>
              <w:noProof/>
              <w:lang w:eastAsia="en-AU"/>
            </w:rPr>
          </w:pPr>
          <w:hyperlink w:anchor="_Toc156546024" w:history="1">
            <w:r w:rsidR="007607A8" w:rsidRPr="00E818DD">
              <w:rPr>
                <w:rStyle w:val="Hyperlink"/>
                <w:noProof/>
              </w:rPr>
              <w:t>6.2 Interpreters</w:t>
            </w:r>
            <w:r w:rsidR="007607A8">
              <w:rPr>
                <w:noProof/>
                <w:webHidden/>
              </w:rPr>
              <w:tab/>
            </w:r>
            <w:r w:rsidR="007607A8">
              <w:rPr>
                <w:noProof/>
                <w:webHidden/>
              </w:rPr>
              <w:fldChar w:fldCharType="begin"/>
            </w:r>
            <w:r w:rsidR="007607A8">
              <w:rPr>
                <w:noProof/>
                <w:webHidden/>
              </w:rPr>
              <w:instrText xml:space="preserve"> PAGEREF _Toc156546024 \h </w:instrText>
            </w:r>
            <w:r w:rsidR="007607A8">
              <w:rPr>
                <w:noProof/>
                <w:webHidden/>
              </w:rPr>
            </w:r>
            <w:r w:rsidR="007607A8">
              <w:rPr>
                <w:noProof/>
                <w:webHidden/>
              </w:rPr>
              <w:fldChar w:fldCharType="separate"/>
            </w:r>
            <w:r w:rsidR="007607A8">
              <w:rPr>
                <w:noProof/>
                <w:webHidden/>
              </w:rPr>
              <w:t>16</w:t>
            </w:r>
            <w:r w:rsidR="007607A8">
              <w:rPr>
                <w:noProof/>
                <w:webHidden/>
              </w:rPr>
              <w:fldChar w:fldCharType="end"/>
            </w:r>
          </w:hyperlink>
        </w:p>
        <w:p w14:paraId="0B799E55" w14:textId="26329CCA" w:rsidR="007607A8" w:rsidRDefault="0001292E">
          <w:pPr>
            <w:pStyle w:val="TOC2"/>
            <w:rPr>
              <w:rFonts w:eastAsiaTheme="minorEastAsia"/>
              <w:noProof/>
              <w:lang w:eastAsia="en-AU"/>
            </w:rPr>
          </w:pPr>
          <w:hyperlink w:anchor="_Toc156546025" w:history="1">
            <w:r w:rsidR="007607A8" w:rsidRPr="00E818DD">
              <w:rPr>
                <w:rStyle w:val="Hyperlink"/>
                <w:noProof/>
              </w:rPr>
              <w:t>6.3 Accessible Information</w:t>
            </w:r>
            <w:r w:rsidR="007607A8">
              <w:rPr>
                <w:noProof/>
                <w:webHidden/>
              </w:rPr>
              <w:tab/>
            </w:r>
            <w:r w:rsidR="007607A8">
              <w:rPr>
                <w:noProof/>
                <w:webHidden/>
              </w:rPr>
              <w:fldChar w:fldCharType="begin"/>
            </w:r>
            <w:r w:rsidR="007607A8">
              <w:rPr>
                <w:noProof/>
                <w:webHidden/>
              </w:rPr>
              <w:instrText xml:space="preserve"> PAGEREF _Toc156546025 \h </w:instrText>
            </w:r>
            <w:r w:rsidR="007607A8">
              <w:rPr>
                <w:noProof/>
                <w:webHidden/>
              </w:rPr>
            </w:r>
            <w:r w:rsidR="007607A8">
              <w:rPr>
                <w:noProof/>
                <w:webHidden/>
              </w:rPr>
              <w:fldChar w:fldCharType="separate"/>
            </w:r>
            <w:r w:rsidR="007607A8">
              <w:rPr>
                <w:noProof/>
                <w:webHidden/>
              </w:rPr>
              <w:t>17</w:t>
            </w:r>
            <w:r w:rsidR="007607A8">
              <w:rPr>
                <w:noProof/>
                <w:webHidden/>
              </w:rPr>
              <w:fldChar w:fldCharType="end"/>
            </w:r>
          </w:hyperlink>
        </w:p>
        <w:p w14:paraId="53BBE617" w14:textId="507D71C5" w:rsidR="007607A8" w:rsidRDefault="0001292E">
          <w:pPr>
            <w:pStyle w:val="TOC1"/>
            <w:tabs>
              <w:tab w:val="right" w:leader="dot" w:pos="9016"/>
            </w:tabs>
            <w:rPr>
              <w:rFonts w:eastAsiaTheme="minorEastAsia"/>
              <w:noProof/>
              <w:lang w:eastAsia="en-AU"/>
            </w:rPr>
          </w:pPr>
          <w:hyperlink w:anchor="_Toc156546026" w:history="1">
            <w:r w:rsidR="007607A8" w:rsidRPr="00E818DD">
              <w:rPr>
                <w:rStyle w:val="Hyperlink"/>
                <w:noProof/>
                <w:shd w:val="clear" w:color="auto" w:fill="FFFFFF"/>
              </w:rPr>
              <w:t>7. Supported Decision Making</w:t>
            </w:r>
            <w:r w:rsidR="007607A8">
              <w:rPr>
                <w:noProof/>
                <w:webHidden/>
              </w:rPr>
              <w:tab/>
            </w:r>
            <w:r w:rsidR="007607A8">
              <w:rPr>
                <w:noProof/>
                <w:webHidden/>
              </w:rPr>
              <w:fldChar w:fldCharType="begin"/>
            </w:r>
            <w:r w:rsidR="007607A8">
              <w:rPr>
                <w:noProof/>
                <w:webHidden/>
              </w:rPr>
              <w:instrText xml:space="preserve"> PAGEREF _Toc156546026 \h </w:instrText>
            </w:r>
            <w:r w:rsidR="007607A8">
              <w:rPr>
                <w:noProof/>
                <w:webHidden/>
              </w:rPr>
            </w:r>
            <w:r w:rsidR="007607A8">
              <w:rPr>
                <w:noProof/>
                <w:webHidden/>
              </w:rPr>
              <w:fldChar w:fldCharType="separate"/>
            </w:r>
            <w:r w:rsidR="007607A8">
              <w:rPr>
                <w:noProof/>
                <w:webHidden/>
              </w:rPr>
              <w:t>18</w:t>
            </w:r>
            <w:r w:rsidR="007607A8">
              <w:rPr>
                <w:noProof/>
                <w:webHidden/>
              </w:rPr>
              <w:fldChar w:fldCharType="end"/>
            </w:r>
          </w:hyperlink>
        </w:p>
        <w:p w14:paraId="6A76D792" w14:textId="041765C9" w:rsidR="007607A8" w:rsidRDefault="0001292E">
          <w:pPr>
            <w:pStyle w:val="TOC2"/>
            <w:rPr>
              <w:rFonts w:eastAsiaTheme="minorEastAsia"/>
              <w:noProof/>
              <w:lang w:eastAsia="en-AU"/>
            </w:rPr>
          </w:pPr>
          <w:hyperlink w:anchor="_Toc156546027" w:history="1">
            <w:r w:rsidR="007607A8" w:rsidRPr="00E818DD">
              <w:rPr>
                <w:rStyle w:val="Hyperlink"/>
                <w:noProof/>
              </w:rPr>
              <w:t>7.1 Model of Citizenhood Support</w:t>
            </w:r>
            <w:r w:rsidR="007607A8">
              <w:rPr>
                <w:noProof/>
                <w:webHidden/>
              </w:rPr>
              <w:tab/>
            </w:r>
            <w:r w:rsidR="007607A8">
              <w:rPr>
                <w:noProof/>
                <w:webHidden/>
              </w:rPr>
              <w:fldChar w:fldCharType="begin"/>
            </w:r>
            <w:r w:rsidR="007607A8">
              <w:rPr>
                <w:noProof/>
                <w:webHidden/>
              </w:rPr>
              <w:instrText xml:space="preserve"> PAGEREF _Toc156546027 \h </w:instrText>
            </w:r>
            <w:r w:rsidR="007607A8">
              <w:rPr>
                <w:noProof/>
                <w:webHidden/>
              </w:rPr>
            </w:r>
            <w:r w:rsidR="007607A8">
              <w:rPr>
                <w:noProof/>
                <w:webHidden/>
              </w:rPr>
              <w:fldChar w:fldCharType="separate"/>
            </w:r>
            <w:r w:rsidR="007607A8">
              <w:rPr>
                <w:noProof/>
                <w:webHidden/>
              </w:rPr>
              <w:t>18</w:t>
            </w:r>
            <w:r w:rsidR="007607A8">
              <w:rPr>
                <w:noProof/>
                <w:webHidden/>
              </w:rPr>
              <w:fldChar w:fldCharType="end"/>
            </w:r>
          </w:hyperlink>
        </w:p>
        <w:p w14:paraId="6C38E65C" w14:textId="623EE139" w:rsidR="007607A8" w:rsidRDefault="0001292E">
          <w:pPr>
            <w:pStyle w:val="TOC2"/>
            <w:rPr>
              <w:rFonts w:eastAsiaTheme="minorEastAsia"/>
              <w:noProof/>
              <w:lang w:eastAsia="en-AU"/>
            </w:rPr>
          </w:pPr>
          <w:hyperlink w:anchor="_Toc156546028" w:history="1">
            <w:r w:rsidR="007607A8" w:rsidRPr="00E818DD">
              <w:rPr>
                <w:rStyle w:val="Hyperlink"/>
                <w:rFonts w:ascii="Calibri" w:hAnsi="Calibri" w:cs="Calibri"/>
                <w:noProof/>
              </w:rPr>
              <w:t>7.4 Decision-making ‘ability’</w:t>
            </w:r>
            <w:r w:rsidR="007607A8">
              <w:rPr>
                <w:noProof/>
                <w:webHidden/>
              </w:rPr>
              <w:tab/>
            </w:r>
            <w:r w:rsidR="007607A8">
              <w:rPr>
                <w:noProof/>
                <w:webHidden/>
              </w:rPr>
              <w:fldChar w:fldCharType="begin"/>
            </w:r>
            <w:r w:rsidR="007607A8">
              <w:rPr>
                <w:noProof/>
                <w:webHidden/>
              </w:rPr>
              <w:instrText xml:space="preserve"> PAGEREF _Toc156546028 \h </w:instrText>
            </w:r>
            <w:r w:rsidR="007607A8">
              <w:rPr>
                <w:noProof/>
                <w:webHidden/>
              </w:rPr>
            </w:r>
            <w:r w:rsidR="007607A8">
              <w:rPr>
                <w:noProof/>
                <w:webHidden/>
              </w:rPr>
              <w:fldChar w:fldCharType="separate"/>
            </w:r>
            <w:r w:rsidR="007607A8">
              <w:rPr>
                <w:noProof/>
                <w:webHidden/>
              </w:rPr>
              <w:t>23</w:t>
            </w:r>
            <w:r w:rsidR="007607A8">
              <w:rPr>
                <w:noProof/>
                <w:webHidden/>
              </w:rPr>
              <w:fldChar w:fldCharType="end"/>
            </w:r>
          </w:hyperlink>
        </w:p>
        <w:p w14:paraId="5DEA4DF5" w14:textId="51B24FF8" w:rsidR="007607A8" w:rsidRDefault="0001292E">
          <w:pPr>
            <w:pStyle w:val="TOC2"/>
            <w:rPr>
              <w:rFonts w:eastAsiaTheme="minorEastAsia"/>
              <w:noProof/>
              <w:lang w:eastAsia="en-AU"/>
            </w:rPr>
          </w:pPr>
          <w:hyperlink w:anchor="_Toc156546029" w:history="1">
            <w:r w:rsidR="007607A8" w:rsidRPr="00E818DD">
              <w:rPr>
                <w:rStyle w:val="Hyperlink"/>
                <w:noProof/>
                <w:lang w:val="en-US"/>
              </w:rPr>
              <w:t>7.6 Defining Ability</w:t>
            </w:r>
            <w:r w:rsidR="007607A8">
              <w:rPr>
                <w:noProof/>
                <w:webHidden/>
              </w:rPr>
              <w:tab/>
            </w:r>
            <w:r w:rsidR="007607A8">
              <w:rPr>
                <w:noProof/>
                <w:webHidden/>
              </w:rPr>
              <w:fldChar w:fldCharType="begin"/>
            </w:r>
            <w:r w:rsidR="007607A8">
              <w:rPr>
                <w:noProof/>
                <w:webHidden/>
              </w:rPr>
              <w:instrText xml:space="preserve"> PAGEREF _Toc156546029 \h </w:instrText>
            </w:r>
            <w:r w:rsidR="007607A8">
              <w:rPr>
                <w:noProof/>
                <w:webHidden/>
              </w:rPr>
            </w:r>
            <w:r w:rsidR="007607A8">
              <w:rPr>
                <w:noProof/>
                <w:webHidden/>
              </w:rPr>
              <w:fldChar w:fldCharType="separate"/>
            </w:r>
            <w:r w:rsidR="007607A8">
              <w:rPr>
                <w:noProof/>
                <w:webHidden/>
              </w:rPr>
              <w:t>24</w:t>
            </w:r>
            <w:r w:rsidR="007607A8">
              <w:rPr>
                <w:noProof/>
                <w:webHidden/>
              </w:rPr>
              <w:fldChar w:fldCharType="end"/>
            </w:r>
          </w:hyperlink>
        </w:p>
        <w:p w14:paraId="00BD97A2" w14:textId="2A74B545" w:rsidR="007607A8" w:rsidRDefault="0001292E">
          <w:pPr>
            <w:pStyle w:val="TOC2"/>
            <w:rPr>
              <w:rFonts w:eastAsiaTheme="minorEastAsia"/>
              <w:noProof/>
              <w:lang w:eastAsia="en-AU"/>
            </w:rPr>
          </w:pPr>
          <w:hyperlink w:anchor="_Toc156546030" w:history="1">
            <w:r w:rsidR="007607A8" w:rsidRPr="00E818DD">
              <w:rPr>
                <w:rStyle w:val="Hyperlink"/>
                <w:rFonts w:ascii="Calibri" w:hAnsi="Calibri" w:cs="Calibri"/>
                <w:noProof/>
                <w:shd w:val="clear" w:color="auto" w:fill="FFFFFF"/>
              </w:rPr>
              <w:t>7.7 Last Resort</w:t>
            </w:r>
            <w:r w:rsidR="007607A8">
              <w:rPr>
                <w:noProof/>
                <w:webHidden/>
              </w:rPr>
              <w:tab/>
            </w:r>
            <w:r w:rsidR="007607A8">
              <w:rPr>
                <w:noProof/>
                <w:webHidden/>
              </w:rPr>
              <w:fldChar w:fldCharType="begin"/>
            </w:r>
            <w:r w:rsidR="007607A8">
              <w:rPr>
                <w:noProof/>
                <w:webHidden/>
              </w:rPr>
              <w:instrText xml:space="preserve"> PAGEREF _Toc156546030 \h </w:instrText>
            </w:r>
            <w:r w:rsidR="007607A8">
              <w:rPr>
                <w:noProof/>
                <w:webHidden/>
              </w:rPr>
            </w:r>
            <w:r w:rsidR="007607A8">
              <w:rPr>
                <w:noProof/>
                <w:webHidden/>
              </w:rPr>
              <w:fldChar w:fldCharType="separate"/>
            </w:r>
            <w:r w:rsidR="007607A8">
              <w:rPr>
                <w:noProof/>
                <w:webHidden/>
              </w:rPr>
              <w:t>25</w:t>
            </w:r>
            <w:r w:rsidR="007607A8">
              <w:rPr>
                <w:noProof/>
                <w:webHidden/>
              </w:rPr>
              <w:fldChar w:fldCharType="end"/>
            </w:r>
          </w:hyperlink>
        </w:p>
        <w:p w14:paraId="046EDD59" w14:textId="414E79A4" w:rsidR="007607A8" w:rsidRDefault="0001292E">
          <w:pPr>
            <w:pStyle w:val="TOC1"/>
            <w:tabs>
              <w:tab w:val="right" w:leader="dot" w:pos="9016"/>
            </w:tabs>
            <w:rPr>
              <w:rFonts w:eastAsiaTheme="minorEastAsia"/>
              <w:noProof/>
              <w:lang w:eastAsia="en-AU"/>
            </w:rPr>
          </w:pPr>
          <w:hyperlink w:anchor="_Toc156546031" w:history="1">
            <w:r w:rsidR="007607A8" w:rsidRPr="00E818DD">
              <w:rPr>
                <w:rStyle w:val="Hyperlink"/>
                <w:rFonts w:ascii="Calibri" w:hAnsi="Calibri" w:cs="Calibri"/>
                <w:noProof/>
              </w:rPr>
              <w:t>8. Conclusion</w:t>
            </w:r>
            <w:r w:rsidR="007607A8">
              <w:rPr>
                <w:noProof/>
                <w:webHidden/>
              </w:rPr>
              <w:tab/>
            </w:r>
            <w:r w:rsidR="007607A8">
              <w:rPr>
                <w:noProof/>
                <w:webHidden/>
              </w:rPr>
              <w:fldChar w:fldCharType="begin"/>
            </w:r>
            <w:r w:rsidR="007607A8">
              <w:rPr>
                <w:noProof/>
                <w:webHidden/>
              </w:rPr>
              <w:instrText xml:space="preserve"> PAGEREF _Toc156546031 \h </w:instrText>
            </w:r>
            <w:r w:rsidR="007607A8">
              <w:rPr>
                <w:noProof/>
                <w:webHidden/>
              </w:rPr>
            </w:r>
            <w:r w:rsidR="007607A8">
              <w:rPr>
                <w:noProof/>
                <w:webHidden/>
              </w:rPr>
              <w:fldChar w:fldCharType="separate"/>
            </w:r>
            <w:r w:rsidR="007607A8">
              <w:rPr>
                <w:noProof/>
                <w:webHidden/>
              </w:rPr>
              <w:t>26</w:t>
            </w:r>
            <w:r w:rsidR="007607A8">
              <w:rPr>
                <w:noProof/>
                <w:webHidden/>
              </w:rPr>
              <w:fldChar w:fldCharType="end"/>
            </w:r>
          </w:hyperlink>
        </w:p>
        <w:p w14:paraId="3378AE1D" w14:textId="2C2E5B5A" w:rsidR="006A2C36" w:rsidRDefault="004A413A" w:rsidP="2C561418">
          <w:pPr>
            <w:pStyle w:val="TOC1"/>
            <w:tabs>
              <w:tab w:val="right" w:leader="dot" w:pos="9015"/>
            </w:tabs>
            <w:rPr>
              <w:rStyle w:val="Hyperlink"/>
              <w:noProof/>
            </w:rPr>
          </w:pPr>
          <w:r w:rsidRPr="00162FF8">
            <w:fldChar w:fldCharType="end"/>
          </w:r>
        </w:p>
      </w:sdtContent>
    </w:sdt>
    <w:p w14:paraId="122C2A59" w14:textId="6B577A5E" w:rsidR="006A2C36" w:rsidRDefault="006A2C36"/>
    <w:p w14:paraId="4C8B851B" w14:textId="77777777" w:rsidR="008E5F91" w:rsidRPr="003E6EEA" w:rsidRDefault="008E5F91" w:rsidP="003E6EEA">
      <w:pPr>
        <w:rPr>
          <w:rFonts w:cstheme="minorHAnsi"/>
          <w:sz w:val="24"/>
          <w:szCs w:val="24"/>
        </w:rPr>
      </w:pPr>
    </w:p>
    <w:p w14:paraId="467909F2" w14:textId="77777777" w:rsidR="004D5A3E" w:rsidRPr="00146C13" w:rsidRDefault="004D5A3E">
      <w:pPr>
        <w:rPr>
          <w:rFonts w:cstheme="minorHAnsi"/>
          <w:sz w:val="24"/>
          <w:szCs w:val="24"/>
        </w:rPr>
      </w:pPr>
    </w:p>
    <w:p w14:paraId="2EFC2C47" w14:textId="77777777" w:rsidR="004D5A3E" w:rsidRPr="00146C13" w:rsidRDefault="004D5A3E">
      <w:pPr>
        <w:rPr>
          <w:rFonts w:cstheme="minorHAnsi"/>
          <w:sz w:val="24"/>
          <w:szCs w:val="24"/>
        </w:rPr>
      </w:pPr>
    </w:p>
    <w:p w14:paraId="506BD36A" w14:textId="77777777" w:rsidR="004D5A3E" w:rsidRPr="00146C13" w:rsidRDefault="004D5A3E">
      <w:pPr>
        <w:rPr>
          <w:rFonts w:cstheme="minorHAnsi"/>
          <w:sz w:val="24"/>
          <w:szCs w:val="24"/>
        </w:rPr>
      </w:pPr>
    </w:p>
    <w:p w14:paraId="678B605A" w14:textId="77777777" w:rsidR="004D5A3E" w:rsidRPr="00146C13" w:rsidRDefault="004D5A3E">
      <w:pPr>
        <w:rPr>
          <w:rFonts w:cstheme="minorHAnsi"/>
          <w:sz w:val="24"/>
          <w:szCs w:val="24"/>
        </w:rPr>
      </w:pPr>
    </w:p>
    <w:p w14:paraId="31CFF465" w14:textId="77777777" w:rsidR="004D5A3E" w:rsidRPr="00146C13" w:rsidRDefault="004D5A3E">
      <w:pPr>
        <w:rPr>
          <w:rFonts w:cstheme="minorHAnsi"/>
          <w:sz w:val="24"/>
          <w:szCs w:val="24"/>
        </w:rPr>
      </w:pPr>
    </w:p>
    <w:p w14:paraId="4A693B3A" w14:textId="77777777" w:rsidR="004D5A3E" w:rsidRPr="00146C13" w:rsidRDefault="004D5A3E">
      <w:pPr>
        <w:rPr>
          <w:rFonts w:cstheme="minorHAnsi"/>
          <w:sz w:val="24"/>
          <w:szCs w:val="24"/>
        </w:rPr>
      </w:pPr>
    </w:p>
    <w:p w14:paraId="31B5CFBD" w14:textId="77777777" w:rsidR="00CE3F2B" w:rsidRDefault="00CE3F2B" w:rsidP="0E887DD2">
      <w:pPr>
        <w:rPr>
          <w:sz w:val="24"/>
          <w:szCs w:val="24"/>
        </w:rPr>
      </w:pPr>
    </w:p>
    <w:p w14:paraId="6308AEC8" w14:textId="55DCDD8D" w:rsidR="0E887DD2" w:rsidRDefault="0E887DD2" w:rsidP="0E887DD2">
      <w:pPr>
        <w:rPr>
          <w:sz w:val="24"/>
          <w:szCs w:val="24"/>
        </w:rPr>
      </w:pPr>
    </w:p>
    <w:p w14:paraId="65709F74" w14:textId="32912ACC" w:rsidR="2C561418" w:rsidRDefault="2C561418" w:rsidP="2C561418">
      <w:pPr>
        <w:pStyle w:val="Heading1"/>
        <w:keepNext w:val="0"/>
        <w:keepLines w:val="0"/>
        <w:spacing w:line="360" w:lineRule="auto"/>
        <w:rPr>
          <w:rStyle w:val="normaltextrun"/>
          <w:rFonts w:cstheme="minorBidi"/>
          <w:b/>
          <w:bCs/>
          <w:color w:val="522E91"/>
        </w:rPr>
      </w:pPr>
    </w:p>
    <w:p w14:paraId="07CD2616" w14:textId="2E2D9E52" w:rsidR="004D5A3E" w:rsidRPr="00162FF8" w:rsidRDefault="00FC43E0" w:rsidP="2C561418">
      <w:pPr>
        <w:pStyle w:val="Heading1"/>
        <w:keepNext w:val="0"/>
        <w:keepLines w:val="0"/>
        <w:spacing w:line="360" w:lineRule="auto"/>
        <w:rPr>
          <w:rStyle w:val="normaltextrun"/>
          <w:rFonts w:cstheme="minorBidi"/>
          <w:color w:val="522E91"/>
          <w:sz w:val="28"/>
          <w:szCs w:val="28"/>
          <w:shd w:val="clear" w:color="auto" w:fill="FFFFFF"/>
        </w:rPr>
      </w:pPr>
      <w:bookmarkStart w:id="0" w:name="_Toc156546014"/>
      <w:r w:rsidRPr="00162FF8">
        <w:rPr>
          <w:rStyle w:val="normaltextrun"/>
          <w:rFonts w:cstheme="minorBidi"/>
          <w:color w:val="522E91"/>
          <w:sz w:val="28"/>
          <w:szCs w:val="28"/>
          <w:shd w:val="clear" w:color="auto" w:fill="FFFFFF"/>
        </w:rPr>
        <w:t xml:space="preserve">1. </w:t>
      </w:r>
      <w:r w:rsidR="004D5A3E" w:rsidRPr="00162FF8">
        <w:rPr>
          <w:rStyle w:val="normaltextrun"/>
          <w:rFonts w:cstheme="minorBidi"/>
          <w:color w:val="522E91"/>
          <w:sz w:val="28"/>
          <w:szCs w:val="28"/>
          <w:shd w:val="clear" w:color="auto" w:fill="FFFFFF"/>
        </w:rPr>
        <w:t>Summary and recommendations</w:t>
      </w:r>
      <w:bookmarkEnd w:id="0"/>
    </w:p>
    <w:p w14:paraId="3F06F7B1" w14:textId="77777777" w:rsidR="00460BCA" w:rsidRDefault="00460BCA" w:rsidP="0E887DD2">
      <w:pPr>
        <w:pStyle w:val="paragraph"/>
        <w:spacing w:before="0" w:beforeAutospacing="0" w:after="0" w:afterAutospacing="0" w:line="360" w:lineRule="auto"/>
        <w:textAlignment w:val="baseline"/>
        <w:rPr>
          <w:rStyle w:val="normaltextrun"/>
          <w:rFonts w:asciiTheme="minorHAnsi" w:hAnsiTheme="minorHAnsi" w:cstheme="minorBidi"/>
        </w:rPr>
      </w:pPr>
    </w:p>
    <w:p w14:paraId="25B3E655" w14:textId="151AC512" w:rsidR="00BF570F" w:rsidRDefault="00BF570F" w:rsidP="0E887DD2">
      <w:pPr>
        <w:pStyle w:val="paragraph"/>
        <w:spacing w:before="0" w:beforeAutospacing="0" w:after="0" w:afterAutospacing="0" w:line="360" w:lineRule="auto"/>
        <w:textAlignment w:val="baseline"/>
        <w:rPr>
          <w:rStyle w:val="eop"/>
          <w:rFonts w:asciiTheme="minorHAnsi" w:hAnsiTheme="minorHAnsi" w:cstheme="minorBidi"/>
        </w:rPr>
      </w:pPr>
      <w:r w:rsidRPr="0E887DD2">
        <w:rPr>
          <w:rStyle w:val="normaltextrun"/>
          <w:rFonts w:asciiTheme="minorHAnsi" w:hAnsiTheme="minorHAnsi" w:cstheme="minorBidi"/>
        </w:rPr>
        <w:t>We recommend:</w:t>
      </w:r>
      <w:r w:rsidRPr="0E887DD2">
        <w:rPr>
          <w:rStyle w:val="eop"/>
          <w:rFonts w:asciiTheme="minorHAnsi" w:hAnsiTheme="minorHAnsi" w:cstheme="minorBidi"/>
        </w:rPr>
        <w:t> </w:t>
      </w:r>
    </w:p>
    <w:p w14:paraId="19B6FD56" w14:textId="77777777" w:rsidR="00B5703B" w:rsidRPr="00146C13" w:rsidRDefault="00B5703B" w:rsidP="0E887DD2">
      <w:pPr>
        <w:pStyle w:val="paragraph"/>
        <w:spacing w:before="0" w:beforeAutospacing="0" w:after="0" w:afterAutospacing="0" w:line="360" w:lineRule="auto"/>
        <w:textAlignment w:val="baseline"/>
        <w:rPr>
          <w:rFonts w:asciiTheme="minorHAnsi" w:hAnsiTheme="minorHAnsi" w:cstheme="minorBidi"/>
        </w:rPr>
      </w:pPr>
    </w:p>
    <w:p w14:paraId="66A65273" w14:textId="77777777" w:rsidR="00834562" w:rsidRDefault="00834562" w:rsidP="00834562">
      <w:pPr>
        <w:pStyle w:val="paragraph"/>
        <w:spacing w:before="0" w:beforeAutospacing="0" w:after="0" w:afterAutospacing="0" w:line="360" w:lineRule="auto"/>
        <w:textAlignment w:val="baseline"/>
        <w:rPr>
          <w:rStyle w:val="normaltextrun"/>
          <w:rFonts w:asciiTheme="minorHAnsi" w:hAnsiTheme="minorHAnsi" w:cstheme="minorBidi"/>
          <w:b/>
          <w:bCs/>
        </w:rPr>
      </w:pPr>
      <w:r w:rsidRPr="0E887DD2">
        <w:rPr>
          <w:rStyle w:val="normaltextrun"/>
          <w:rFonts w:asciiTheme="minorHAnsi" w:hAnsiTheme="minorHAnsi" w:cstheme="minorBidi"/>
          <w:b/>
          <w:bCs/>
          <w:color w:val="522E91"/>
        </w:rPr>
        <w:t>Recommendation 1:</w:t>
      </w:r>
      <w:r w:rsidRPr="0E887DD2">
        <w:rPr>
          <w:rStyle w:val="normaltextrun"/>
          <w:rFonts w:asciiTheme="minorHAnsi" w:hAnsiTheme="minorHAnsi" w:cstheme="minorBidi"/>
          <w:b/>
          <w:bCs/>
          <w:color w:val="7030A0"/>
        </w:rPr>
        <w:t> </w:t>
      </w:r>
      <w:r w:rsidRPr="0E887DD2">
        <w:rPr>
          <w:rStyle w:val="normaltextrun"/>
          <w:rFonts w:asciiTheme="minorHAnsi" w:hAnsiTheme="minorHAnsi" w:cstheme="minorBidi"/>
          <w:b/>
          <w:bCs/>
        </w:rPr>
        <w:t xml:space="preserve">The Committee should recommend Division 5 part 4 of the Administrative Review Tribunal Bill 2023 be amended to include additional principles: rights-based, person centredness, inclusivity and cultural safety. The definitions of these principles should be drawn from previous Public Interest Advocacy Centre submissions.   </w:t>
      </w:r>
    </w:p>
    <w:p w14:paraId="5B15FF34" w14:textId="08629640" w:rsidR="00BD6379" w:rsidRPr="00146C13" w:rsidRDefault="00BD6379" w:rsidP="00BD6379">
      <w:pPr>
        <w:pStyle w:val="Default"/>
        <w:spacing w:line="360" w:lineRule="auto"/>
        <w:rPr>
          <w:rFonts w:asciiTheme="minorHAnsi" w:hAnsiTheme="minorHAnsi" w:cstheme="minorBidi"/>
        </w:rPr>
      </w:pPr>
      <w:r w:rsidRPr="0E887DD2">
        <w:rPr>
          <w:rStyle w:val="normaltextrun"/>
          <w:rFonts w:asciiTheme="minorHAnsi" w:hAnsiTheme="minorHAnsi" w:cstheme="minorBidi"/>
          <w:b/>
          <w:bCs/>
          <w:color w:val="522E91"/>
        </w:rPr>
        <w:t>Recommendation 2:</w:t>
      </w:r>
      <w:r w:rsidRPr="0E887DD2">
        <w:rPr>
          <w:rStyle w:val="normaltextrun"/>
          <w:rFonts w:asciiTheme="minorHAnsi" w:hAnsiTheme="minorHAnsi" w:cstheme="minorBidi"/>
          <w:b/>
          <w:bCs/>
          <w:color w:val="7030A0"/>
        </w:rPr>
        <w:t> </w:t>
      </w:r>
      <w:r w:rsidRPr="0E887DD2">
        <w:rPr>
          <w:rStyle w:val="normaltextrun"/>
          <w:rFonts w:asciiTheme="minorHAnsi" w:hAnsiTheme="minorHAnsi" w:cstheme="minorBidi"/>
          <w:b/>
          <w:bCs/>
        </w:rPr>
        <w:t xml:space="preserve">The Committee should recommend clause 193 of the Administrative Review Tribunal Bill 2023 be amended to empower the President with a co-design function. </w:t>
      </w:r>
    </w:p>
    <w:p w14:paraId="186405B7" w14:textId="77777777" w:rsidR="00BD6379" w:rsidRDefault="00BD6379" w:rsidP="00BD6379">
      <w:pPr>
        <w:pStyle w:val="Default"/>
        <w:spacing w:line="360" w:lineRule="auto"/>
        <w:rPr>
          <w:rFonts w:asciiTheme="minorHAnsi" w:hAnsiTheme="minorHAnsi" w:cstheme="minorBidi"/>
        </w:rPr>
      </w:pPr>
      <w:r w:rsidRPr="0E887DD2">
        <w:rPr>
          <w:rStyle w:val="normaltextrun"/>
          <w:rFonts w:asciiTheme="minorHAnsi" w:hAnsiTheme="minorHAnsi" w:cstheme="minorBidi"/>
          <w:b/>
          <w:bCs/>
          <w:color w:val="522E91"/>
        </w:rPr>
        <w:t>Recommendation 3:</w:t>
      </w:r>
      <w:r w:rsidRPr="0E887DD2">
        <w:rPr>
          <w:rStyle w:val="normaltextrun"/>
          <w:rFonts w:asciiTheme="minorHAnsi" w:hAnsiTheme="minorHAnsi" w:cstheme="minorBidi"/>
          <w:b/>
          <w:bCs/>
          <w:color w:val="7030A0"/>
        </w:rPr>
        <w:t> </w:t>
      </w:r>
      <w:r w:rsidRPr="0E887DD2">
        <w:rPr>
          <w:rStyle w:val="normaltextrun"/>
          <w:rFonts w:asciiTheme="minorHAnsi" w:hAnsiTheme="minorHAnsi" w:cstheme="minorBidi"/>
          <w:b/>
          <w:bCs/>
        </w:rPr>
        <w:t xml:space="preserve">The Committee should recommend clause 193 h) of the Administrative Review Tribunal Bill 2023 be amended to make the President’s promotion of training in effective decision-making concerning people living with disability, cross-cultural communication, working with interpreters and a trauma-informed practice mandatory. The Committee should also recommend that clause 193 h) be amended to specify that any training promoted must be genuinely co-designed with the relevant lived experience community.  </w:t>
      </w:r>
    </w:p>
    <w:p w14:paraId="45D0C4AC" w14:textId="77777777" w:rsidR="00BD6379" w:rsidRDefault="00BD6379" w:rsidP="00BD6379">
      <w:pPr>
        <w:spacing w:line="360" w:lineRule="auto"/>
        <w:rPr>
          <w:rStyle w:val="normaltextrun"/>
          <w:sz w:val="24"/>
          <w:szCs w:val="24"/>
          <w:lang w:val="en-US"/>
        </w:rPr>
      </w:pPr>
      <w:r w:rsidRPr="00162FF8">
        <w:rPr>
          <w:rStyle w:val="normaltextrun"/>
          <w:b/>
          <w:bCs/>
          <w:color w:val="522E91"/>
          <w:sz w:val="24"/>
          <w:szCs w:val="24"/>
        </w:rPr>
        <w:t>Recommendation 4:</w:t>
      </w:r>
      <w:r w:rsidRPr="00162FF8">
        <w:rPr>
          <w:rStyle w:val="normaltextrun"/>
          <w:b/>
          <w:bCs/>
          <w:color w:val="7030A0"/>
          <w:sz w:val="24"/>
          <w:szCs w:val="24"/>
        </w:rPr>
        <w:t> </w:t>
      </w:r>
      <w:r w:rsidRPr="00162FF8">
        <w:rPr>
          <w:rStyle w:val="normaltextrun"/>
          <w:b/>
          <w:bCs/>
          <w:sz w:val="24"/>
          <w:szCs w:val="24"/>
        </w:rPr>
        <w:t xml:space="preserve">The Committee should recommend clause 249 f) of the Administrative Review Tribunal Bill 2023 be amended to specify that educational and training materials supported by the Administrative Review Council be genuinely co-designed with the relevant lived experience community. </w:t>
      </w:r>
    </w:p>
    <w:p w14:paraId="3B8E2B0E" w14:textId="76982502" w:rsidR="00BD6379" w:rsidRPr="00BD6379" w:rsidRDefault="00BD6379" w:rsidP="00BD6379">
      <w:pPr>
        <w:spacing w:line="360" w:lineRule="auto"/>
        <w:rPr>
          <w:rStyle w:val="normaltextrun"/>
          <w:sz w:val="24"/>
          <w:szCs w:val="24"/>
          <w:lang w:val="en-US"/>
        </w:rPr>
      </w:pPr>
      <w:r w:rsidRPr="00162FF8">
        <w:rPr>
          <w:rStyle w:val="normaltextrun"/>
          <w:b/>
          <w:bCs/>
          <w:color w:val="522E91"/>
          <w:sz w:val="24"/>
          <w:szCs w:val="24"/>
        </w:rPr>
        <w:t>Recommendation 5:</w:t>
      </w:r>
      <w:r w:rsidRPr="00162FF8">
        <w:rPr>
          <w:rStyle w:val="normaltextrun"/>
          <w:b/>
          <w:bCs/>
          <w:color w:val="7030A0"/>
          <w:sz w:val="24"/>
          <w:szCs w:val="24"/>
        </w:rPr>
        <w:t> </w:t>
      </w:r>
      <w:r w:rsidRPr="00162FF8">
        <w:rPr>
          <w:rStyle w:val="normaltextrun"/>
          <w:b/>
          <w:bCs/>
          <w:sz w:val="24"/>
          <w:szCs w:val="24"/>
        </w:rPr>
        <w:t>The Committee should recommend</w:t>
      </w:r>
      <w:r w:rsidRPr="00162FF8">
        <w:rPr>
          <w:rStyle w:val="normaltextrun"/>
          <w:b/>
          <w:bCs/>
          <w:color w:val="522E91"/>
          <w:sz w:val="24"/>
          <w:szCs w:val="24"/>
        </w:rPr>
        <w:t xml:space="preserve"> </w:t>
      </w:r>
      <w:r w:rsidRPr="00162FF8">
        <w:rPr>
          <w:rStyle w:val="normaltextrun"/>
          <w:b/>
          <w:bCs/>
          <w:color w:val="000000" w:themeColor="text1"/>
          <w:sz w:val="24"/>
          <w:szCs w:val="24"/>
        </w:rPr>
        <w:t>t</w:t>
      </w:r>
      <w:r w:rsidRPr="00162FF8">
        <w:rPr>
          <w:rStyle w:val="normaltextrun"/>
          <w:b/>
          <w:bCs/>
          <w:sz w:val="24"/>
          <w:szCs w:val="24"/>
        </w:rPr>
        <w:t xml:space="preserve">he definition of ‘merit-based’ in clause 4 of the Administrative Review Tribunal Bill 2023 be amended to include specific and disaggregated employment targets for Tribunal Members with lived experience. These employment targets should align (at least) with APS employment targets, rising to population parity during the term of </w:t>
      </w:r>
      <w:r w:rsidRPr="00162FF8">
        <w:rPr>
          <w:rStyle w:val="normaltextrun"/>
          <w:b/>
          <w:bCs/>
          <w:i/>
          <w:iCs/>
          <w:sz w:val="24"/>
          <w:szCs w:val="24"/>
        </w:rPr>
        <w:t>Australia’s Disability Strategy 2021-2031</w:t>
      </w:r>
      <w:r w:rsidRPr="00162FF8">
        <w:rPr>
          <w:rStyle w:val="normaltextrun"/>
          <w:b/>
          <w:bCs/>
          <w:sz w:val="24"/>
          <w:szCs w:val="24"/>
        </w:rPr>
        <w:t xml:space="preserve">, and should be tracked and publicly reported annually.   </w:t>
      </w:r>
    </w:p>
    <w:p w14:paraId="284E8892" w14:textId="264CA165" w:rsidR="00BD6379" w:rsidRDefault="00BD6379" w:rsidP="1CF0AC9B">
      <w:pPr>
        <w:spacing w:line="360" w:lineRule="auto"/>
        <w:rPr>
          <w:rStyle w:val="normaltextrun"/>
          <w:b/>
          <w:bCs/>
          <w:sz w:val="24"/>
          <w:szCs w:val="24"/>
        </w:rPr>
      </w:pPr>
      <w:r w:rsidRPr="1CF0AC9B">
        <w:rPr>
          <w:rStyle w:val="normaltextrun"/>
          <w:b/>
          <w:bCs/>
          <w:color w:val="522E91"/>
          <w:sz w:val="24"/>
          <w:szCs w:val="24"/>
        </w:rPr>
        <w:lastRenderedPageBreak/>
        <w:t>Recommendation 6:</w:t>
      </w:r>
      <w:r w:rsidRPr="1CF0AC9B">
        <w:rPr>
          <w:rStyle w:val="normaltextrun"/>
          <w:b/>
          <w:bCs/>
          <w:color w:val="7030A0"/>
          <w:sz w:val="24"/>
          <w:szCs w:val="24"/>
        </w:rPr>
        <w:t> </w:t>
      </w:r>
      <w:r w:rsidR="1991A473" w:rsidRPr="1CF0AC9B">
        <w:rPr>
          <w:rStyle w:val="normaltextrun"/>
          <w:b/>
          <w:bCs/>
          <w:sz w:val="24"/>
          <w:szCs w:val="24"/>
        </w:rPr>
        <w:t xml:space="preserve"> The Committee should recommend clause 67 of the Administrative Review Tribunal Bill 2023 incorporate supported decision-making principles that conform with article 12 of the UNCRPD, the National Decision-Making Principles, Australian Law Reform Commission guidelines, national and international best practice, and the recommendations of the DRC.</w:t>
      </w:r>
    </w:p>
    <w:p w14:paraId="79DEC55E" w14:textId="3D4AAAF1" w:rsidR="00BD6379" w:rsidRDefault="00BD6379" w:rsidP="1CF0AC9B">
      <w:pPr>
        <w:spacing w:line="360" w:lineRule="auto"/>
        <w:rPr>
          <w:rStyle w:val="normaltextrun"/>
          <w:b/>
          <w:bCs/>
          <w:color w:val="7030A0"/>
          <w:sz w:val="24"/>
          <w:szCs w:val="24"/>
        </w:rPr>
      </w:pPr>
    </w:p>
    <w:p w14:paraId="7EA8C3C0" w14:textId="77777777" w:rsidR="00C758D5" w:rsidRDefault="00C758D5" w:rsidP="00C758D5">
      <w:pPr>
        <w:spacing w:line="360" w:lineRule="auto"/>
        <w:rPr>
          <w:rStyle w:val="normaltextrun"/>
          <w:b/>
          <w:bCs/>
          <w:sz w:val="24"/>
          <w:szCs w:val="24"/>
        </w:rPr>
      </w:pPr>
      <w:r w:rsidRPr="00162FF8">
        <w:rPr>
          <w:rStyle w:val="normaltextrun"/>
          <w:b/>
          <w:bCs/>
          <w:color w:val="522E91"/>
          <w:sz w:val="24"/>
          <w:szCs w:val="24"/>
        </w:rPr>
        <w:t>Recommendation 7:</w:t>
      </w:r>
      <w:r w:rsidRPr="00162FF8">
        <w:rPr>
          <w:rStyle w:val="normaltextrun"/>
          <w:b/>
          <w:bCs/>
          <w:color w:val="7030A0"/>
          <w:sz w:val="24"/>
          <w:szCs w:val="24"/>
        </w:rPr>
        <w:t> </w:t>
      </w:r>
      <w:r w:rsidRPr="00162FF8">
        <w:rPr>
          <w:rStyle w:val="normaltextrun"/>
          <w:b/>
          <w:bCs/>
          <w:sz w:val="24"/>
          <w:szCs w:val="24"/>
        </w:rPr>
        <w:t>The Committee should recommend clause 68 of the Administrative Review Tribunal Bill 2023 be amended to require all interpreters be trained in disability awareness, including mental health terminology, the Social Model of Disability, and the intersection between disability and culture, particularly regarding cultural perceptions of shame regarding disability.</w:t>
      </w:r>
    </w:p>
    <w:p w14:paraId="72E704F9" w14:textId="77777777" w:rsidR="00C758D5" w:rsidRDefault="00C758D5" w:rsidP="00C758D5">
      <w:pPr>
        <w:spacing w:line="360" w:lineRule="auto"/>
        <w:rPr>
          <w:rStyle w:val="normaltextrun"/>
          <w:b/>
          <w:bCs/>
          <w:sz w:val="24"/>
          <w:szCs w:val="24"/>
        </w:rPr>
      </w:pPr>
      <w:r w:rsidRPr="00162FF8">
        <w:rPr>
          <w:rStyle w:val="normaltextrun"/>
          <w:b/>
          <w:bCs/>
          <w:color w:val="522E91"/>
          <w:sz w:val="24"/>
          <w:szCs w:val="24"/>
        </w:rPr>
        <w:t>Recommendation 8:</w:t>
      </w:r>
      <w:r w:rsidRPr="00162FF8">
        <w:rPr>
          <w:rStyle w:val="normaltextrun"/>
          <w:b/>
          <w:bCs/>
          <w:color w:val="7030A0"/>
          <w:sz w:val="24"/>
          <w:szCs w:val="24"/>
        </w:rPr>
        <w:t> </w:t>
      </w:r>
      <w:r w:rsidRPr="00162FF8">
        <w:rPr>
          <w:rStyle w:val="normaltextrun"/>
          <w:b/>
          <w:bCs/>
          <w:sz w:val="24"/>
          <w:szCs w:val="24"/>
        </w:rPr>
        <w:t xml:space="preserve">The Committee should recommend clause 268 of the Administrative Review Tribunal Bill 2023 be amended to require that the Tribunal’s reasons for decisions must be provided in format/s accessible to the individual living with disability. </w:t>
      </w:r>
    </w:p>
    <w:p w14:paraId="7B935230" w14:textId="77777777" w:rsidR="00C94910" w:rsidRPr="00C758D5" w:rsidRDefault="00C94910" w:rsidP="00C94910">
      <w:pPr>
        <w:spacing w:line="360" w:lineRule="auto"/>
        <w:rPr>
          <w:rStyle w:val="normaltextrun"/>
          <w:color w:val="000000"/>
          <w:sz w:val="24"/>
          <w:szCs w:val="24"/>
        </w:rPr>
      </w:pPr>
      <w:r w:rsidRPr="00162FF8">
        <w:rPr>
          <w:rStyle w:val="normaltextrun"/>
          <w:b/>
          <w:bCs/>
          <w:color w:val="522E91"/>
          <w:sz w:val="24"/>
          <w:szCs w:val="24"/>
        </w:rPr>
        <w:t xml:space="preserve">Recommendation </w:t>
      </w:r>
      <w:r>
        <w:rPr>
          <w:rStyle w:val="normaltextrun"/>
          <w:b/>
          <w:bCs/>
          <w:color w:val="522E91"/>
          <w:sz w:val="24"/>
          <w:szCs w:val="24"/>
        </w:rPr>
        <w:t>9</w:t>
      </w:r>
      <w:r w:rsidRPr="00162FF8">
        <w:rPr>
          <w:rStyle w:val="normaltextrun"/>
          <w:b/>
          <w:bCs/>
          <w:color w:val="522E91"/>
          <w:sz w:val="24"/>
          <w:szCs w:val="24"/>
        </w:rPr>
        <w:t>:</w:t>
      </w:r>
      <w:r w:rsidRPr="00162FF8">
        <w:rPr>
          <w:rStyle w:val="normaltextrun"/>
          <w:b/>
          <w:bCs/>
          <w:color w:val="7030A0"/>
          <w:sz w:val="24"/>
          <w:szCs w:val="24"/>
        </w:rPr>
        <w:t> </w:t>
      </w:r>
      <w:r w:rsidRPr="00162FF8">
        <w:rPr>
          <w:rStyle w:val="normaltextrun"/>
          <w:b/>
          <w:bCs/>
          <w:sz w:val="24"/>
          <w:szCs w:val="24"/>
        </w:rPr>
        <w:t xml:space="preserve">The Committee should recommend </w:t>
      </w:r>
      <w:r>
        <w:rPr>
          <w:rStyle w:val="normaltextrun"/>
          <w:b/>
          <w:bCs/>
          <w:sz w:val="24"/>
          <w:szCs w:val="24"/>
        </w:rPr>
        <w:t xml:space="preserve">that the Parliament use the </w:t>
      </w:r>
      <w:r w:rsidRPr="00C758D5">
        <w:rPr>
          <w:rStyle w:val="normaltextrun"/>
          <w:b/>
          <w:bCs/>
          <w:i/>
          <w:iCs/>
          <w:sz w:val="24"/>
          <w:szCs w:val="24"/>
        </w:rPr>
        <w:t>Citizenhood</w:t>
      </w:r>
      <w:r>
        <w:rPr>
          <w:rStyle w:val="normaltextrun"/>
          <w:b/>
          <w:bCs/>
          <w:i/>
          <w:iCs/>
          <w:sz w:val="24"/>
          <w:szCs w:val="24"/>
        </w:rPr>
        <w:t xml:space="preserve"> </w:t>
      </w:r>
      <w:r>
        <w:rPr>
          <w:rStyle w:val="normaltextrun"/>
          <w:b/>
          <w:bCs/>
          <w:sz w:val="24"/>
          <w:szCs w:val="24"/>
        </w:rPr>
        <w:t>model as a lens to evaluate the implications the Bill will have on the life chances of people living with disability.</w:t>
      </w:r>
    </w:p>
    <w:p w14:paraId="05902A92" w14:textId="567CBF2D" w:rsidR="00C758D5" w:rsidRDefault="00C758D5" w:rsidP="00C758D5">
      <w:pPr>
        <w:spacing w:line="360" w:lineRule="auto"/>
        <w:rPr>
          <w:rStyle w:val="normaltextrun"/>
          <w:b/>
          <w:bCs/>
          <w:sz w:val="24"/>
          <w:szCs w:val="24"/>
        </w:rPr>
      </w:pPr>
      <w:r w:rsidRPr="00162FF8">
        <w:rPr>
          <w:rStyle w:val="normaltextrun"/>
          <w:b/>
          <w:bCs/>
          <w:color w:val="522E91"/>
          <w:sz w:val="24"/>
          <w:szCs w:val="24"/>
        </w:rPr>
        <w:t xml:space="preserve">Recommendation </w:t>
      </w:r>
      <w:r w:rsidR="00C94910">
        <w:rPr>
          <w:rStyle w:val="normaltextrun"/>
          <w:b/>
          <w:bCs/>
          <w:color w:val="522E91"/>
          <w:sz w:val="24"/>
          <w:szCs w:val="24"/>
        </w:rPr>
        <w:t>10</w:t>
      </w:r>
      <w:r w:rsidRPr="00162FF8">
        <w:rPr>
          <w:rStyle w:val="normaltextrun"/>
          <w:b/>
          <w:bCs/>
          <w:color w:val="522E91"/>
          <w:sz w:val="24"/>
          <w:szCs w:val="24"/>
        </w:rPr>
        <w:t>:</w:t>
      </w:r>
      <w:r w:rsidRPr="00162FF8">
        <w:rPr>
          <w:rStyle w:val="normaltextrun"/>
          <w:b/>
          <w:bCs/>
          <w:color w:val="7030A0"/>
          <w:sz w:val="24"/>
          <w:szCs w:val="24"/>
        </w:rPr>
        <w:t> </w:t>
      </w:r>
      <w:r w:rsidRPr="00162FF8">
        <w:rPr>
          <w:rStyle w:val="normaltextrun"/>
          <w:b/>
          <w:bCs/>
          <w:sz w:val="24"/>
          <w:szCs w:val="24"/>
        </w:rPr>
        <w:t>The Committee should recommend clause 67 of the Administrative Review Tribunal Bill 2023 incorporate supported decision-making principles that conform with article 12 of the UNCRPD, the National Decision-Making Principles, Australian Law Reform Commission guidelines, national and international best practice, and the recommendations of the DRC.</w:t>
      </w:r>
    </w:p>
    <w:p w14:paraId="0E504C70" w14:textId="5DFEB7DB" w:rsidR="00C758D5" w:rsidRPr="000E437B" w:rsidRDefault="00C758D5" w:rsidP="00C758D5">
      <w:pPr>
        <w:spacing w:line="360" w:lineRule="auto"/>
        <w:rPr>
          <w:rStyle w:val="normaltextrun"/>
          <w:b/>
          <w:bCs/>
          <w:sz w:val="24"/>
          <w:szCs w:val="24"/>
        </w:rPr>
      </w:pPr>
      <w:r w:rsidRPr="000E437B">
        <w:rPr>
          <w:rStyle w:val="normaltextrun"/>
          <w:b/>
          <w:bCs/>
          <w:color w:val="522E91"/>
          <w:sz w:val="24"/>
          <w:szCs w:val="24"/>
        </w:rPr>
        <w:t>Recommendation 1</w:t>
      </w:r>
      <w:r w:rsidR="00C94910">
        <w:rPr>
          <w:rStyle w:val="normaltextrun"/>
          <w:b/>
          <w:bCs/>
          <w:color w:val="522E91"/>
          <w:sz w:val="24"/>
          <w:szCs w:val="24"/>
        </w:rPr>
        <w:t>1</w:t>
      </w:r>
      <w:r w:rsidRPr="000E437B">
        <w:rPr>
          <w:rStyle w:val="normaltextrun"/>
          <w:b/>
          <w:bCs/>
          <w:color w:val="522E91"/>
          <w:sz w:val="24"/>
          <w:szCs w:val="24"/>
        </w:rPr>
        <w:t>:</w:t>
      </w:r>
      <w:r w:rsidRPr="000E437B">
        <w:rPr>
          <w:rStyle w:val="normaltextrun"/>
          <w:b/>
          <w:bCs/>
          <w:color w:val="7030A0"/>
          <w:sz w:val="24"/>
          <w:szCs w:val="24"/>
        </w:rPr>
        <w:t> </w:t>
      </w:r>
      <w:r w:rsidRPr="000E437B">
        <w:rPr>
          <w:rStyle w:val="normaltextrun"/>
          <w:b/>
          <w:bCs/>
          <w:sz w:val="24"/>
          <w:szCs w:val="24"/>
        </w:rPr>
        <w:t xml:space="preserve">The Committee should recommend clause 67 of the Administrative Review Tribunal Bill 2023 be amended to rename litigation guardians to litigation supporters. </w:t>
      </w:r>
    </w:p>
    <w:p w14:paraId="399129A0" w14:textId="26393CB3" w:rsidR="00C758D5" w:rsidRDefault="00C758D5" w:rsidP="00C758D5">
      <w:pPr>
        <w:spacing w:line="360" w:lineRule="auto"/>
        <w:rPr>
          <w:rStyle w:val="normaltextrun"/>
          <w:b/>
          <w:bCs/>
          <w:sz w:val="24"/>
          <w:szCs w:val="24"/>
        </w:rPr>
      </w:pPr>
      <w:r w:rsidRPr="000E437B">
        <w:rPr>
          <w:rStyle w:val="normaltextrun"/>
          <w:b/>
          <w:bCs/>
          <w:color w:val="522E91"/>
          <w:sz w:val="24"/>
          <w:szCs w:val="24"/>
        </w:rPr>
        <w:t>Recommendation 1</w:t>
      </w:r>
      <w:r w:rsidR="00C94910">
        <w:rPr>
          <w:rStyle w:val="normaltextrun"/>
          <w:b/>
          <w:bCs/>
          <w:color w:val="522E91"/>
          <w:sz w:val="24"/>
          <w:szCs w:val="24"/>
        </w:rPr>
        <w:t>2</w:t>
      </w:r>
      <w:r w:rsidRPr="000E437B">
        <w:rPr>
          <w:rStyle w:val="normaltextrun"/>
          <w:b/>
          <w:bCs/>
          <w:color w:val="522E91"/>
          <w:sz w:val="24"/>
          <w:szCs w:val="24"/>
        </w:rPr>
        <w:t>:</w:t>
      </w:r>
      <w:r w:rsidRPr="000E437B">
        <w:rPr>
          <w:rStyle w:val="normaltextrun"/>
          <w:b/>
          <w:bCs/>
          <w:color w:val="7030A0"/>
          <w:sz w:val="24"/>
          <w:szCs w:val="24"/>
        </w:rPr>
        <w:t> </w:t>
      </w:r>
      <w:r w:rsidRPr="000E437B">
        <w:rPr>
          <w:rStyle w:val="normaltextrun"/>
          <w:b/>
          <w:bCs/>
          <w:sz w:val="24"/>
          <w:szCs w:val="24"/>
        </w:rPr>
        <w:t>The Committee should recommend clause 67 of the Administrative Review Tribunal Bill 2023 be amended to integrate the DRC’s Recommendation 6.8 regarding formal supporters.</w:t>
      </w:r>
    </w:p>
    <w:p w14:paraId="3EEE3D54" w14:textId="6458CE73" w:rsidR="00C758D5" w:rsidRPr="000E437B" w:rsidRDefault="00C758D5" w:rsidP="00C758D5">
      <w:pPr>
        <w:spacing w:line="360" w:lineRule="auto"/>
        <w:rPr>
          <w:rStyle w:val="normaltextrun"/>
          <w:b/>
          <w:bCs/>
          <w:sz w:val="24"/>
          <w:szCs w:val="24"/>
        </w:rPr>
      </w:pPr>
      <w:r w:rsidRPr="000E437B">
        <w:rPr>
          <w:rStyle w:val="normaltextrun"/>
          <w:b/>
          <w:bCs/>
          <w:color w:val="522E91"/>
          <w:sz w:val="24"/>
          <w:szCs w:val="24"/>
        </w:rPr>
        <w:lastRenderedPageBreak/>
        <w:t>Recommendation 1</w:t>
      </w:r>
      <w:r w:rsidR="00C94910">
        <w:rPr>
          <w:rStyle w:val="normaltextrun"/>
          <w:b/>
          <w:bCs/>
          <w:color w:val="522E91"/>
          <w:sz w:val="24"/>
          <w:szCs w:val="24"/>
        </w:rPr>
        <w:t>3</w:t>
      </w:r>
      <w:r w:rsidRPr="000E437B">
        <w:rPr>
          <w:rStyle w:val="normaltextrun"/>
          <w:b/>
          <w:bCs/>
          <w:color w:val="522E91"/>
          <w:sz w:val="24"/>
          <w:szCs w:val="24"/>
        </w:rPr>
        <w:t>:</w:t>
      </w:r>
      <w:r w:rsidRPr="000E437B">
        <w:rPr>
          <w:rStyle w:val="normaltextrun"/>
          <w:b/>
          <w:bCs/>
          <w:color w:val="7030A0"/>
          <w:sz w:val="24"/>
          <w:szCs w:val="24"/>
        </w:rPr>
        <w:t> </w:t>
      </w:r>
      <w:r w:rsidRPr="000E437B">
        <w:rPr>
          <w:rStyle w:val="normaltextrun"/>
          <w:b/>
          <w:bCs/>
          <w:sz w:val="24"/>
          <w:szCs w:val="24"/>
        </w:rPr>
        <w:t>The Committee should recommend clause 67 of the Administrative Review Tribunal Bill 2023 be amended to replace all references to capacity/capable with ability/able.</w:t>
      </w:r>
    </w:p>
    <w:p w14:paraId="54B39742" w14:textId="788F979A" w:rsidR="00C758D5" w:rsidRDefault="00C758D5" w:rsidP="00C758D5">
      <w:pPr>
        <w:spacing w:line="360" w:lineRule="auto"/>
        <w:rPr>
          <w:rStyle w:val="normaltextrun"/>
          <w:b/>
          <w:bCs/>
          <w:sz w:val="24"/>
          <w:szCs w:val="24"/>
        </w:rPr>
      </w:pPr>
      <w:r w:rsidRPr="000E437B">
        <w:rPr>
          <w:rStyle w:val="normaltextrun"/>
          <w:b/>
          <w:bCs/>
          <w:color w:val="522E91"/>
          <w:sz w:val="24"/>
          <w:szCs w:val="24"/>
        </w:rPr>
        <w:t>Recommendation 1</w:t>
      </w:r>
      <w:r w:rsidR="00C94910">
        <w:rPr>
          <w:rStyle w:val="normaltextrun"/>
          <w:b/>
          <w:bCs/>
          <w:color w:val="522E91"/>
          <w:sz w:val="24"/>
          <w:szCs w:val="24"/>
        </w:rPr>
        <w:t>4</w:t>
      </w:r>
      <w:r w:rsidRPr="000E437B">
        <w:rPr>
          <w:rStyle w:val="normaltextrun"/>
          <w:b/>
          <w:bCs/>
          <w:color w:val="522E91"/>
          <w:sz w:val="24"/>
          <w:szCs w:val="24"/>
        </w:rPr>
        <w:t>:</w:t>
      </w:r>
      <w:r w:rsidRPr="000E437B">
        <w:rPr>
          <w:rStyle w:val="normaltextrun"/>
          <w:b/>
          <w:bCs/>
          <w:color w:val="7030A0"/>
          <w:sz w:val="24"/>
          <w:szCs w:val="24"/>
        </w:rPr>
        <w:t> </w:t>
      </w:r>
      <w:r w:rsidRPr="000E437B">
        <w:rPr>
          <w:rStyle w:val="normaltextrun"/>
          <w:b/>
          <w:bCs/>
          <w:sz w:val="24"/>
          <w:szCs w:val="24"/>
        </w:rPr>
        <w:t>The Committee should recommend clause 67 of the Administrative Review Tribunal Bill 2023 be amended to enshrine a presumption of ability in accordance with DRC Recommendation 6.7.</w:t>
      </w:r>
    </w:p>
    <w:p w14:paraId="6BA93BB5" w14:textId="242AEFE7" w:rsidR="00C758D5" w:rsidRPr="00162FF8" w:rsidRDefault="00C758D5" w:rsidP="00C758D5">
      <w:pPr>
        <w:spacing w:line="360" w:lineRule="auto"/>
        <w:rPr>
          <w:rStyle w:val="normaltextrun"/>
          <w:b/>
          <w:bCs/>
          <w:sz w:val="24"/>
          <w:szCs w:val="24"/>
        </w:rPr>
      </w:pPr>
      <w:r w:rsidRPr="00162FF8">
        <w:rPr>
          <w:rStyle w:val="normaltextrun"/>
          <w:b/>
          <w:bCs/>
          <w:color w:val="522E91"/>
          <w:sz w:val="24"/>
          <w:szCs w:val="24"/>
        </w:rPr>
        <w:t>Recommendation 1</w:t>
      </w:r>
      <w:r w:rsidR="00C94910">
        <w:rPr>
          <w:rStyle w:val="normaltextrun"/>
          <w:b/>
          <w:bCs/>
          <w:color w:val="522E91"/>
          <w:sz w:val="24"/>
          <w:szCs w:val="24"/>
        </w:rPr>
        <w:t>5</w:t>
      </w:r>
      <w:r w:rsidRPr="00162FF8">
        <w:rPr>
          <w:rStyle w:val="normaltextrun"/>
          <w:b/>
          <w:bCs/>
          <w:color w:val="522E91"/>
          <w:sz w:val="24"/>
          <w:szCs w:val="24"/>
        </w:rPr>
        <w:t>:</w:t>
      </w:r>
      <w:r w:rsidRPr="00162FF8">
        <w:rPr>
          <w:rStyle w:val="normaltextrun"/>
          <w:b/>
          <w:bCs/>
          <w:color w:val="7030A0"/>
          <w:sz w:val="24"/>
          <w:szCs w:val="24"/>
        </w:rPr>
        <w:t> </w:t>
      </w:r>
      <w:r w:rsidRPr="00162FF8">
        <w:rPr>
          <w:rStyle w:val="normaltextrun"/>
          <w:b/>
          <w:bCs/>
          <w:sz w:val="24"/>
          <w:szCs w:val="24"/>
        </w:rPr>
        <w:t>The Committee should recommend clause 67 of the Administrative Review Tribunal Bill 2023 be amended to state that when an assessment of decision-making ability is required, this must be a full assessment conducted at a time and in an environment that will result in the most accurate and transparent result before a litigation supporter is appointed.</w:t>
      </w:r>
    </w:p>
    <w:p w14:paraId="566474BB" w14:textId="6BC5997D" w:rsidR="00C758D5" w:rsidRDefault="00C758D5" w:rsidP="00C758D5">
      <w:pPr>
        <w:spacing w:line="360" w:lineRule="auto"/>
        <w:rPr>
          <w:rStyle w:val="normaltextrun"/>
          <w:b/>
          <w:bCs/>
          <w:sz w:val="24"/>
          <w:szCs w:val="24"/>
        </w:rPr>
      </w:pPr>
      <w:r w:rsidRPr="00162FF8">
        <w:rPr>
          <w:rStyle w:val="normaltextrun"/>
          <w:b/>
          <w:bCs/>
          <w:color w:val="522E91"/>
          <w:sz w:val="24"/>
          <w:szCs w:val="24"/>
        </w:rPr>
        <w:t>Recommendation 1</w:t>
      </w:r>
      <w:r w:rsidR="00C94910">
        <w:rPr>
          <w:rStyle w:val="normaltextrun"/>
          <w:b/>
          <w:bCs/>
          <w:color w:val="522E91"/>
          <w:sz w:val="24"/>
          <w:szCs w:val="24"/>
        </w:rPr>
        <w:t>6</w:t>
      </w:r>
      <w:r w:rsidRPr="00162FF8">
        <w:rPr>
          <w:rStyle w:val="normaltextrun"/>
          <w:b/>
          <w:bCs/>
          <w:color w:val="522E91"/>
          <w:sz w:val="24"/>
          <w:szCs w:val="24"/>
        </w:rPr>
        <w:t>:</w:t>
      </w:r>
      <w:r w:rsidRPr="00162FF8">
        <w:rPr>
          <w:rStyle w:val="normaltextrun"/>
          <w:b/>
          <w:bCs/>
          <w:color w:val="7030A0"/>
          <w:sz w:val="24"/>
          <w:szCs w:val="24"/>
        </w:rPr>
        <w:t> </w:t>
      </w:r>
      <w:r w:rsidRPr="00162FF8">
        <w:rPr>
          <w:rStyle w:val="normaltextrun"/>
          <w:b/>
          <w:bCs/>
          <w:sz w:val="24"/>
          <w:szCs w:val="24"/>
        </w:rPr>
        <w:t xml:space="preserve">The Committee should recommend clause 67 of the Administrative Review Tribunal Bill 2023 be amended to recognise that decision-making ability </w:t>
      </w:r>
      <w:proofErr w:type="gramStart"/>
      <w:r w:rsidRPr="00162FF8">
        <w:rPr>
          <w:rStyle w:val="normaltextrun"/>
          <w:b/>
          <w:bCs/>
          <w:sz w:val="24"/>
          <w:szCs w:val="24"/>
        </w:rPr>
        <w:t>fluctuates</w:t>
      </w:r>
      <w:proofErr w:type="gramEnd"/>
      <w:r w:rsidRPr="00162FF8">
        <w:rPr>
          <w:rStyle w:val="normaltextrun"/>
          <w:b/>
          <w:bCs/>
          <w:sz w:val="24"/>
          <w:szCs w:val="24"/>
        </w:rPr>
        <w:t xml:space="preserve"> and that flexibility is necessary to accommodate provision of varying support needs.</w:t>
      </w:r>
    </w:p>
    <w:p w14:paraId="0D3BF1B6" w14:textId="506DE0E4" w:rsidR="00C758D5" w:rsidRPr="00162FF8" w:rsidRDefault="00C758D5" w:rsidP="00C758D5">
      <w:pPr>
        <w:spacing w:line="360" w:lineRule="auto"/>
        <w:rPr>
          <w:rStyle w:val="normaltextrun"/>
          <w:color w:val="000000"/>
          <w:sz w:val="24"/>
          <w:szCs w:val="24"/>
        </w:rPr>
      </w:pPr>
      <w:r w:rsidRPr="00162FF8">
        <w:rPr>
          <w:rStyle w:val="normaltextrun"/>
          <w:b/>
          <w:bCs/>
          <w:color w:val="522E91"/>
          <w:sz w:val="24"/>
          <w:szCs w:val="24"/>
        </w:rPr>
        <w:t>Recommendation 1</w:t>
      </w:r>
      <w:r w:rsidR="00C94910">
        <w:rPr>
          <w:rStyle w:val="normaltextrun"/>
          <w:b/>
          <w:bCs/>
          <w:color w:val="522E91"/>
          <w:sz w:val="24"/>
          <w:szCs w:val="24"/>
        </w:rPr>
        <w:t>7</w:t>
      </w:r>
      <w:r w:rsidRPr="00162FF8">
        <w:rPr>
          <w:rStyle w:val="normaltextrun"/>
          <w:b/>
          <w:bCs/>
          <w:color w:val="522E91"/>
          <w:sz w:val="24"/>
          <w:szCs w:val="24"/>
        </w:rPr>
        <w:t>:</w:t>
      </w:r>
      <w:r w:rsidRPr="00162FF8">
        <w:rPr>
          <w:rStyle w:val="normaltextrun"/>
          <w:b/>
          <w:bCs/>
          <w:color w:val="7030A0"/>
          <w:sz w:val="24"/>
          <w:szCs w:val="24"/>
        </w:rPr>
        <w:t> </w:t>
      </w:r>
      <w:r w:rsidRPr="00162FF8">
        <w:rPr>
          <w:rStyle w:val="normaltextrun"/>
          <w:b/>
          <w:bCs/>
          <w:sz w:val="24"/>
          <w:szCs w:val="24"/>
        </w:rPr>
        <w:t>The Committee should recommend clause 67 of the Administrative Review Tribunal Bill 2023 be amended to specify that a litigation supporter should only be permitted to exercise substitute decision making powers under sub-clauses 7 and 8 as a last resort.</w:t>
      </w:r>
    </w:p>
    <w:p w14:paraId="7621E430" w14:textId="77777777" w:rsidR="00C758D5" w:rsidRPr="00162FF8" w:rsidRDefault="00C758D5" w:rsidP="00C758D5">
      <w:pPr>
        <w:spacing w:line="360" w:lineRule="auto"/>
        <w:rPr>
          <w:rStyle w:val="normaltextrun"/>
          <w:color w:val="000000"/>
          <w:sz w:val="24"/>
          <w:szCs w:val="24"/>
        </w:rPr>
      </w:pPr>
    </w:p>
    <w:p w14:paraId="5DAA5C71" w14:textId="77777777" w:rsidR="00C758D5" w:rsidRPr="000E437B" w:rsidRDefault="00C758D5" w:rsidP="00C758D5">
      <w:pPr>
        <w:spacing w:line="360" w:lineRule="auto"/>
        <w:rPr>
          <w:color w:val="000000"/>
          <w:sz w:val="24"/>
          <w:szCs w:val="24"/>
        </w:rPr>
      </w:pPr>
    </w:p>
    <w:p w14:paraId="01B95B3F" w14:textId="77777777" w:rsidR="00C758D5" w:rsidRDefault="00C758D5" w:rsidP="00C758D5">
      <w:pPr>
        <w:spacing w:line="360" w:lineRule="auto"/>
        <w:rPr>
          <w:rStyle w:val="normaltextrun"/>
          <w:b/>
          <w:bCs/>
          <w:sz w:val="24"/>
          <w:szCs w:val="24"/>
        </w:rPr>
      </w:pPr>
    </w:p>
    <w:p w14:paraId="0319C2BC" w14:textId="77777777" w:rsidR="00C758D5" w:rsidRPr="00162FF8" w:rsidRDefault="00C758D5" w:rsidP="00C758D5">
      <w:pPr>
        <w:spacing w:line="360" w:lineRule="auto"/>
        <w:rPr>
          <w:rStyle w:val="normaltextrun"/>
          <w:b/>
          <w:bCs/>
          <w:sz w:val="24"/>
          <w:szCs w:val="24"/>
        </w:rPr>
      </w:pPr>
    </w:p>
    <w:p w14:paraId="690BD250" w14:textId="77777777" w:rsidR="00C758D5" w:rsidRPr="00162FF8" w:rsidRDefault="00C758D5" w:rsidP="00C758D5">
      <w:pPr>
        <w:spacing w:line="360" w:lineRule="auto"/>
        <w:rPr>
          <w:rStyle w:val="normaltextrun"/>
          <w:color w:val="000000"/>
          <w:sz w:val="24"/>
          <w:szCs w:val="24"/>
        </w:rPr>
      </w:pPr>
    </w:p>
    <w:p w14:paraId="45A8AC4E" w14:textId="77777777" w:rsidR="00C758D5" w:rsidRPr="00162FF8" w:rsidRDefault="00C758D5" w:rsidP="00C758D5">
      <w:pPr>
        <w:spacing w:line="360" w:lineRule="auto"/>
        <w:rPr>
          <w:color w:val="000000"/>
          <w:sz w:val="24"/>
          <w:szCs w:val="24"/>
        </w:rPr>
      </w:pPr>
    </w:p>
    <w:p w14:paraId="61E739FF" w14:textId="77777777" w:rsidR="00C758D5" w:rsidRPr="00162FF8" w:rsidRDefault="00C758D5" w:rsidP="00BD6379">
      <w:pPr>
        <w:spacing w:line="360" w:lineRule="auto"/>
        <w:rPr>
          <w:rStyle w:val="normaltextrun"/>
          <w:b/>
          <w:bCs/>
          <w:color w:val="522E91"/>
          <w:sz w:val="24"/>
          <w:szCs w:val="24"/>
          <w:shd w:val="clear" w:color="auto" w:fill="FFFFFF"/>
        </w:rPr>
      </w:pPr>
    </w:p>
    <w:p w14:paraId="155DAA0F" w14:textId="77777777" w:rsidR="00EE00BD" w:rsidRPr="00146C13" w:rsidRDefault="00EE00BD" w:rsidP="0E887DD2">
      <w:pPr>
        <w:spacing w:line="360" w:lineRule="auto"/>
        <w:rPr>
          <w:color w:val="000000"/>
          <w:sz w:val="24"/>
          <w:szCs w:val="24"/>
        </w:rPr>
      </w:pPr>
    </w:p>
    <w:p w14:paraId="28B94D06" w14:textId="77777777" w:rsidR="001B7EC9" w:rsidRPr="00025B69" w:rsidRDefault="001B7EC9" w:rsidP="0E887DD2">
      <w:pPr>
        <w:spacing w:line="360" w:lineRule="auto"/>
        <w:rPr>
          <w:color w:val="000000"/>
          <w:sz w:val="24"/>
          <w:szCs w:val="24"/>
        </w:rPr>
      </w:pPr>
    </w:p>
    <w:p w14:paraId="512DC7A6" w14:textId="77777777" w:rsidR="001B7EC9" w:rsidRDefault="001B7EC9" w:rsidP="0E887DD2">
      <w:pPr>
        <w:spacing w:line="360" w:lineRule="auto"/>
        <w:rPr>
          <w:rStyle w:val="normaltextrun"/>
          <w:b/>
          <w:bCs/>
        </w:rPr>
      </w:pPr>
    </w:p>
    <w:p w14:paraId="17FD30A3" w14:textId="77777777" w:rsidR="000E437B" w:rsidRPr="000E437B" w:rsidRDefault="000E437B" w:rsidP="000E437B"/>
    <w:p w14:paraId="001B0FDF" w14:textId="57A6652C" w:rsidR="0073565B" w:rsidRPr="00162FF8" w:rsidRDefault="00FC43E0" w:rsidP="2C561418">
      <w:pPr>
        <w:pStyle w:val="Heading1"/>
        <w:keepNext w:val="0"/>
        <w:keepLines w:val="0"/>
        <w:spacing w:line="360" w:lineRule="auto"/>
        <w:rPr>
          <w:rStyle w:val="eop"/>
          <w:rFonts w:cstheme="minorBidi"/>
          <w:color w:val="522E91"/>
          <w:sz w:val="28"/>
          <w:szCs w:val="28"/>
          <w:shd w:val="clear" w:color="auto" w:fill="FFFFFF"/>
        </w:rPr>
      </w:pPr>
      <w:bookmarkStart w:id="1" w:name="_Toc156546015"/>
      <w:r w:rsidRPr="00162FF8">
        <w:rPr>
          <w:rStyle w:val="normaltextrun"/>
          <w:rFonts w:cstheme="minorBidi"/>
          <w:color w:val="522E91"/>
          <w:sz w:val="28"/>
          <w:szCs w:val="28"/>
          <w:shd w:val="clear" w:color="auto" w:fill="FFFFFF"/>
        </w:rPr>
        <w:t xml:space="preserve">2. </w:t>
      </w:r>
      <w:r w:rsidR="0073565B" w:rsidRPr="00162FF8">
        <w:rPr>
          <w:rStyle w:val="normaltextrun"/>
          <w:rFonts w:cstheme="minorBidi"/>
          <w:color w:val="522E91"/>
          <w:sz w:val="28"/>
          <w:szCs w:val="28"/>
          <w:shd w:val="clear" w:color="auto" w:fill="FFFFFF"/>
        </w:rPr>
        <w:t>Introduction</w:t>
      </w:r>
      <w:bookmarkEnd w:id="1"/>
      <w:r w:rsidR="0073565B" w:rsidRPr="00162FF8">
        <w:rPr>
          <w:rStyle w:val="eop"/>
          <w:rFonts w:cstheme="minorBidi"/>
          <w:color w:val="522E91"/>
          <w:sz w:val="28"/>
          <w:szCs w:val="28"/>
          <w:shd w:val="clear" w:color="auto" w:fill="FFFFFF"/>
        </w:rPr>
        <w:t> </w:t>
      </w:r>
    </w:p>
    <w:p w14:paraId="27A0B0BF" w14:textId="5D8F8A73" w:rsidR="00895C6E" w:rsidRDefault="000C49AB" w:rsidP="0E887DD2">
      <w:pPr>
        <w:spacing w:line="360" w:lineRule="auto"/>
        <w:rPr>
          <w:color w:val="374151"/>
          <w:sz w:val="24"/>
          <w:szCs w:val="24"/>
        </w:rPr>
      </w:pPr>
      <w:r w:rsidRPr="0E887DD2">
        <w:rPr>
          <w:color w:val="374151"/>
          <w:sz w:val="24"/>
          <w:szCs w:val="24"/>
        </w:rPr>
        <w:t>Particularly in the last decade, for</w:t>
      </w:r>
      <w:r w:rsidR="004A552C" w:rsidRPr="0E887DD2">
        <w:rPr>
          <w:color w:val="374151"/>
          <w:sz w:val="24"/>
          <w:szCs w:val="24"/>
        </w:rPr>
        <w:t xml:space="preserve"> Australians living </w:t>
      </w:r>
      <w:r w:rsidR="00122F34" w:rsidRPr="0E887DD2">
        <w:rPr>
          <w:color w:val="374151"/>
          <w:sz w:val="24"/>
          <w:szCs w:val="24"/>
        </w:rPr>
        <w:t>with disability</w:t>
      </w:r>
      <w:r w:rsidR="00B73787" w:rsidRPr="0E887DD2">
        <w:rPr>
          <w:color w:val="374151"/>
          <w:sz w:val="24"/>
          <w:szCs w:val="24"/>
        </w:rPr>
        <w:t>,</w:t>
      </w:r>
      <w:r w:rsidR="0033194D" w:rsidRPr="0E887DD2">
        <w:rPr>
          <w:color w:val="374151"/>
          <w:sz w:val="24"/>
          <w:szCs w:val="24"/>
        </w:rPr>
        <w:t xml:space="preserve"> the Administrative Appeals Tribunal</w:t>
      </w:r>
      <w:r w:rsidR="00EA7E55" w:rsidRPr="0E887DD2">
        <w:rPr>
          <w:color w:val="374151"/>
          <w:sz w:val="24"/>
          <w:szCs w:val="24"/>
        </w:rPr>
        <w:t xml:space="preserve"> (AAT)</w:t>
      </w:r>
      <w:r w:rsidR="005E02CB" w:rsidRPr="0E887DD2">
        <w:rPr>
          <w:color w:val="374151"/>
          <w:sz w:val="24"/>
          <w:szCs w:val="24"/>
        </w:rPr>
        <w:t xml:space="preserve"> was the </w:t>
      </w:r>
      <w:r w:rsidR="00D0128A" w:rsidRPr="0E887DD2">
        <w:rPr>
          <w:color w:val="374151"/>
          <w:sz w:val="24"/>
          <w:szCs w:val="24"/>
        </w:rPr>
        <w:t xml:space="preserve">final </w:t>
      </w:r>
      <w:r w:rsidR="00881C48" w:rsidRPr="0E887DD2">
        <w:rPr>
          <w:color w:val="374151"/>
          <w:sz w:val="24"/>
          <w:szCs w:val="24"/>
        </w:rPr>
        <w:t>source of hope: that NDIS access could</w:t>
      </w:r>
      <w:r w:rsidR="007D5E80" w:rsidRPr="0E887DD2">
        <w:rPr>
          <w:color w:val="374151"/>
          <w:sz w:val="24"/>
          <w:szCs w:val="24"/>
        </w:rPr>
        <w:t xml:space="preserve"> still be granted, or cuts to </w:t>
      </w:r>
      <w:r w:rsidR="004A478D" w:rsidRPr="0E887DD2">
        <w:rPr>
          <w:color w:val="374151"/>
          <w:sz w:val="24"/>
          <w:szCs w:val="24"/>
        </w:rPr>
        <w:t xml:space="preserve">plans </w:t>
      </w:r>
      <w:r w:rsidR="00576452" w:rsidRPr="0E887DD2">
        <w:rPr>
          <w:color w:val="374151"/>
          <w:sz w:val="24"/>
          <w:szCs w:val="24"/>
        </w:rPr>
        <w:t>c</w:t>
      </w:r>
      <w:r w:rsidR="00D86BAE" w:rsidRPr="0E887DD2">
        <w:rPr>
          <w:color w:val="374151"/>
          <w:sz w:val="24"/>
          <w:szCs w:val="24"/>
        </w:rPr>
        <w:t>ould</w:t>
      </w:r>
      <w:r w:rsidR="00576452" w:rsidRPr="0E887DD2">
        <w:rPr>
          <w:color w:val="374151"/>
          <w:sz w:val="24"/>
          <w:szCs w:val="24"/>
        </w:rPr>
        <w:t xml:space="preserve"> be rever</w:t>
      </w:r>
      <w:r w:rsidR="008119B8" w:rsidRPr="0E887DD2">
        <w:rPr>
          <w:color w:val="374151"/>
          <w:sz w:val="24"/>
          <w:szCs w:val="24"/>
        </w:rPr>
        <w:t>s</w:t>
      </w:r>
      <w:r w:rsidR="00576452" w:rsidRPr="0E887DD2">
        <w:rPr>
          <w:color w:val="374151"/>
          <w:sz w:val="24"/>
          <w:szCs w:val="24"/>
        </w:rPr>
        <w:t xml:space="preserve">ed; that </w:t>
      </w:r>
      <w:r w:rsidR="009C4225" w:rsidRPr="0E887DD2">
        <w:rPr>
          <w:color w:val="374151"/>
          <w:sz w:val="24"/>
          <w:szCs w:val="24"/>
        </w:rPr>
        <w:t>Disability Support Pension (</w:t>
      </w:r>
      <w:r w:rsidR="007739A1" w:rsidRPr="0E887DD2">
        <w:rPr>
          <w:color w:val="374151"/>
          <w:sz w:val="24"/>
          <w:szCs w:val="24"/>
        </w:rPr>
        <w:t>DSP</w:t>
      </w:r>
      <w:r w:rsidR="009C4225" w:rsidRPr="0E887DD2">
        <w:rPr>
          <w:color w:val="374151"/>
          <w:sz w:val="24"/>
          <w:szCs w:val="24"/>
        </w:rPr>
        <w:t>)</w:t>
      </w:r>
      <w:r w:rsidR="007739A1" w:rsidRPr="0E887DD2">
        <w:rPr>
          <w:color w:val="374151"/>
          <w:sz w:val="24"/>
          <w:szCs w:val="24"/>
        </w:rPr>
        <w:t xml:space="preserve"> </w:t>
      </w:r>
      <w:r w:rsidR="00285EC1" w:rsidRPr="0E887DD2">
        <w:rPr>
          <w:color w:val="374151"/>
          <w:sz w:val="24"/>
          <w:szCs w:val="24"/>
        </w:rPr>
        <w:t>tables of impairment c</w:t>
      </w:r>
      <w:r w:rsidR="00D86BAE" w:rsidRPr="0E887DD2">
        <w:rPr>
          <w:color w:val="374151"/>
          <w:sz w:val="24"/>
          <w:szCs w:val="24"/>
        </w:rPr>
        <w:t>ould</w:t>
      </w:r>
      <w:r w:rsidR="00285EC1" w:rsidRPr="0E887DD2">
        <w:rPr>
          <w:color w:val="374151"/>
          <w:sz w:val="24"/>
          <w:szCs w:val="24"/>
        </w:rPr>
        <w:t xml:space="preserve"> be deemed met</w:t>
      </w:r>
      <w:r w:rsidR="009C4225" w:rsidRPr="0E887DD2">
        <w:rPr>
          <w:color w:val="374151"/>
          <w:sz w:val="24"/>
          <w:szCs w:val="24"/>
        </w:rPr>
        <w:t>;</w:t>
      </w:r>
      <w:r w:rsidR="00285EC1" w:rsidRPr="0E887DD2">
        <w:rPr>
          <w:color w:val="374151"/>
          <w:sz w:val="24"/>
          <w:szCs w:val="24"/>
        </w:rPr>
        <w:t xml:space="preserve"> or that Centrelink debts c</w:t>
      </w:r>
      <w:r w:rsidR="00D86BAE" w:rsidRPr="0E887DD2">
        <w:rPr>
          <w:color w:val="374151"/>
          <w:sz w:val="24"/>
          <w:szCs w:val="24"/>
        </w:rPr>
        <w:t>ould</w:t>
      </w:r>
      <w:r w:rsidR="00285EC1" w:rsidRPr="0E887DD2">
        <w:rPr>
          <w:color w:val="374151"/>
          <w:sz w:val="24"/>
          <w:szCs w:val="24"/>
        </w:rPr>
        <w:t xml:space="preserve"> be recalculated or </w:t>
      </w:r>
      <w:r w:rsidR="001017FD" w:rsidRPr="0E887DD2">
        <w:rPr>
          <w:color w:val="374151"/>
          <w:sz w:val="24"/>
          <w:szCs w:val="24"/>
        </w:rPr>
        <w:t>deemed not to be owed.</w:t>
      </w:r>
      <w:r w:rsidR="00D86BAE" w:rsidRPr="0E887DD2">
        <w:rPr>
          <w:color w:val="374151"/>
          <w:sz w:val="24"/>
          <w:szCs w:val="24"/>
        </w:rPr>
        <w:t xml:space="preserve"> Decisions</w:t>
      </w:r>
      <w:r w:rsidR="004B768F" w:rsidRPr="0E887DD2">
        <w:rPr>
          <w:color w:val="374151"/>
          <w:sz w:val="24"/>
          <w:szCs w:val="24"/>
        </w:rPr>
        <w:t xml:space="preserve"> pivotal</w:t>
      </w:r>
      <w:r w:rsidR="00D86BAE" w:rsidRPr="0E887DD2">
        <w:rPr>
          <w:color w:val="374151"/>
          <w:sz w:val="24"/>
          <w:szCs w:val="24"/>
        </w:rPr>
        <w:t xml:space="preserve"> </w:t>
      </w:r>
      <w:r w:rsidR="004B768F" w:rsidRPr="0E887DD2">
        <w:rPr>
          <w:color w:val="374151"/>
          <w:sz w:val="24"/>
          <w:szCs w:val="24"/>
        </w:rPr>
        <w:t>to</w:t>
      </w:r>
      <w:r w:rsidR="00D86BAE" w:rsidRPr="0E887DD2">
        <w:rPr>
          <w:color w:val="374151"/>
          <w:sz w:val="24"/>
          <w:szCs w:val="24"/>
        </w:rPr>
        <w:t xml:space="preserve"> the </w:t>
      </w:r>
      <w:r w:rsidR="002B3E94" w:rsidRPr="0E887DD2">
        <w:rPr>
          <w:color w:val="374151"/>
          <w:sz w:val="24"/>
          <w:szCs w:val="24"/>
        </w:rPr>
        <w:t xml:space="preserve">fulfillment of basic </w:t>
      </w:r>
      <w:r w:rsidR="00163395" w:rsidRPr="0E887DD2">
        <w:rPr>
          <w:color w:val="374151"/>
          <w:sz w:val="24"/>
          <w:szCs w:val="24"/>
        </w:rPr>
        <w:t>needs</w:t>
      </w:r>
      <w:r w:rsidR="00233AF4" w:rsidRPr="0E887DD2">
        <w:rPr>
          <w:color w:val="374151"/>
          <w:sz w:val="24"/>
          <w:szCs w:val="24"/>
        </w:rPr>
        <w:t xml:space="preserve">: food on the table, money for rent, access to </w:t>
      </w:r>
      <w:r w:rsidR="00EA6C6D" w:rsidRPr="0E887DD2">
        <w:rPr>
          <w:color w:val="374151"/>
          <w:sz w:val="24"/>
          <w:szCs w:val="24"/>
        </w:rPr>
        <w:t xml:space="preserve">life changing </w:t>
      </w:r>
      <w:r w:rsidR="00233AF4" w:rsidRPr="0E887DD2">
        <w:rPr>
          <w:color w:val="374151"/>
          <w:sz w:val="24"/>
          <w:szCs w:val="24"/>
        </w:rPr>
        <w:t>services</w:t>
      </w:r>
      <w:r w:rsidR="00EA6C6D" w:rsidRPr="0E887DD2">
        <w:rPr>
          <w:color w:val="374151"/>
          <w:sz w:val="24"/>
          <w:szCs w:val="24"/>
        </w:rPr>
        <w:t xml:space="preserve"> and supports</w:t>
      </w:r>
      <w:r w:rsidR="004B768F" w:rsidRPr="0E887DD2">
        <w:rPr>
          <w:color w:val="374151"/>
          <w:sz w:val="24"/>
          <w:szCs w:val="24"/>
        </w:rPr>
        <w:t>.</w:t>
      </w:r>
      <w:r w:rsidR="001017FD" w:rsidRPr="0E887DD2">
        <w:rPr>
          <w:color w:val="374151"/>
          <w:sz w:val="24"/>
          <w:szCs w:val="24"/>
        </w:rPr>
        <w:t xml:space="preserve"> </w:t>
      </w:r>
      <w:r w:rsidR="00576452" w:rsidRPr="0E887DD2">
        <w:rPr>
          <w:color w:val="374151"/>
          <w:sz w:val="24"/>
          <w:szCs w:val="24"/>
        </w:rPr>
        <w:t xml:space="preserve"> </w:t>
      </w:r>
      <w:r w:rsidR="00EF3391" w:rsidRPr="0E887DD2">
        <w:rPr>
          <w:color w:val="374151"/>
          <w:sz w:val="24"/>
          <w:szCs w:val="24"/>
        </w:rPr>
        <w:t xml:space="preserve">While, </w:t>
      </w:r>
      <w:r w:rsidR="00B73787" w:rsidRPr="0E887DD2">
        <w:rPr>
          <w:color w:val="374151"/>
          <w:sz w:val="24"/>
          <w:szCs w:val="24"/>
        </w:rPr>
        <w:t xml:space="preserve">notionally, </w:t>
      </w:r>
      <w:r w:rsidR="004A552C" w:rsidRPr="0E887DD2">
        <w:rPr>
          <w:color w:val="374151"/>
          <w:sz w:val="24"/>
          <w:szCs w:val="24"/>
        </w:rPr>
        <w:t xml:space="preserve">administrative </w:t>
      </w:r>
      <w:r w:rsidR="00E12D5F" w:rsidRPr="0E887DD2">
        <w:rPr>
          <w:color w:val="374151"/>
          <w:sz w:val="24"/>
          <w:szCs w:val="24"/>
        </w:rPr>
        <w:t xml:space="preserve">appeal </w:t>
      </w:r>
      <w:r w:rsidR="004A552C" w:rsidRPr="0E887DD2">
        <w:rPr>
          <w:color w:val="374151"/>
          <w:sz w:val="24"/>
          <w:szCs w:val="24"/>
        </w:rPr>
        <w:t>rights</w:t>
      </w:r>
      <w:r w:rsidR="00577CB1" w:rsidRPr="0E887DD2">
        <w:rPr>
          <w:color w:val="374151"/>
          <w:sz w:val="24"/>
          <w:szCs w:val="24"/>
        </w:rPr>
        <w:t xml:space="preserve"> are not exhausted </w:t>
      </w:r>
      <w:r w:rsidR="00502859" w:rsidRPr="0E887DD2">
        <w:rPr>
          <w:color w:val="374151"/>
          <w:sz w:val="24"/>
          <w:szCs w:val="24"/>
        </w:rPr>
        <w:t>until the Federal Court</w:t>
      </w:r>
      <w:r w:rsidR="00F77BC9" w:rsidRPr="0E887DD2">
        <w:rPr>
          <w:color w:val="374151"/>
          <w:sz w:val="24"/>
          <w:szCs w:val="24"/>
        </w:rPr>
        <w:t xml:space="preserve"> delivers a verdict</w:t>
      </w:r>
      <w:r w:rsidR="00021F14" w:rsidRPr="0E887DD2">
        <w:rPr>
          <w:color w:val="374151"/>
          <w:sz w:val="24"/>
          <w:szCs w:val="24"/>
        </w:rPr>
        <w:t>, the cost</w:t>
      </w:r>
      <w:r w:rsidR="0078189C" w:rsidRPr="0E887DD2">
        <w:rPr>
          <w:color w:val="374151"/>
          <w:sz w:val="24"/>
          <w:szCs w:val="24"/>
        </w:rPr>
        <w:t xml:space="preserve">, </w:t>
      </w:r>
      <w:proofErr w:type="gramStart"/>
      <w:r w:rsidR="0078189C" w:rsidRPr="0E887DD2">
        <w:rPr>
          <w:color w:val="374151"/>
          <w:sz w:val="24"/>
          <w:szCs w:val="24"/>
        </w:rPr>
        <w:t>complexity</w:t>
      </w:r>
      <w:proofErr w:type="gramEnd"/>
      <w:r w:rsidR="00021F14" w:rsidRPr="0E887DD2">
        <w:rPr>
          <w:color w:val="374151"/>
          <w:sz w:val="24"/>
          <w:szCs w:val="24"/>
        </w:rPr>
        <w:t xml:space="preserve"> and stress of this avenue </w:t>
      </w:r>
      <w:r w:rsidR="009B603F" w:rsidRPr="0E887DD2">
        <w:rPr>
          <w:color w:val="374151"/>
          <w:sz w:val="24"/>
          <w:szCs w:val="24"/>
        </w:rPr>
        <w:t>was often prohibitive</w:t>
      </w:r>
      <w:r w:rsidR="0078189C" w:rsidRPr="0E887DD2">
        <w:rPr>
          <w:color w:val="374151"/>
          <w:sz w:val="24"/>
          <w:szCs w:val="24"/>
        </w:rPr>
        <w:t xml:space="preserve">. </w:t>
      </w:r>
    </w:p>
    <w:p w14:paraId="7D58C350" w14:textId="6CA5361B" w:rsidR="00B73787" w:rsidRDefault="00D172E9" w:rsidP="0E887DD2">
      <w:pPr>
        <w:spacing w:line="360" w:lineRule="auto"/>
        <w:rPr>
          <w:color w:val="374151"/>
          <w:sz w:val="24"/>
          <w:szCs w:val="24"/>
        </w:rPr>
      </w:pPr>
      <w:r w:rsidRPr="0E887DD2">
        <w:rPr>
          <w:color w:val="374151"/>
          <w:sz w:val="24"/>
          <w:szCs w:val="24"/>
        </w:rPr>
        <w:t xml:space="preserve">Under the previous </w:t>
      </w:r>
      <w:r w:rsidR="00AC7DC1" w:rsidRPr="0E887DD2">
        <w:rPr>
          <w:color w:val="374151"/>
          <w:sz w:val="24"/>
          <w:szCs w:val="24"/>
        </w:rPr>
        <w:t xml:space="preserve">AAT regime, people living with disability </w:t>
      </w:r>
      <w:r w:rsidR="009F11A3" w:rsidRPr="0E887DD2">
        <w:rPr>
          <w:color w:val="374151"/>
          <w:sz w:val="24"/>
          <w:szCs w:val="24"/>
        </w:rPr>
        <w:t>were up against</w:t>
      </w:r>
      <w:r w:rsidR="00AC7DC1" w:rsidRPr="0E887DD2">
        <w:rPr>
          <w:color w:val="374151"/>
          <w:sz w:val="24"/>
          <w:szCs w:val="24"/>
        </w:rPr>
        <w:t xml:space="preserve"> </w:t>
      </w:r>
      <w:r w:rsidR="00141F43" w:rsidRPr="0E887DD2">
        <w:rPr>
          <w:color w:val="374151"/>
          <w:sz w:val="24"/>
          <w:szCs w:val="24"/>
        </w:rPr>
        <w:t xml:space="preserve">government bureaucrats </w:t>
      </w:r>
      <w:r w:rsidR="009415F3" w:rsidRPr="0E887DD2">
        <w:rPr>
          <w:color w:val="374151"/>
          <w:sz w:val="24"/>
          <w:szCs w:val="24"/>
        </w:rPr>
        <w:t>and their well-equipped</w:t>
      </w:r>
      <w:r w:rsidR="00141F43" w:rsidRPr="0E887DD2">
        <w:rPr>
          <w:color w:val="374151"/>
          <w:sz w:val="24"/>
          <w:szCs w:val="24"/>
        </w:rPr>
        <w:t xml:space="preserve"> counsel</w:t>
      </w:r>
      <w:r w:rsidR="009415F3" w:rsidRPr="0E887DD2">
        <w:rPr>
          <w:color w:val="374151"/>
          <w:sz w:val="24"/>
          <w:szCs w:val="24"/>
        </w:rPr>
        <w:t>. Further,</w:t>
      </w:r>
      <w:r w:rsidR="00141F43" w:rsidRPr="0E887DD2">
        <w:rPr>
          <w:color w:val="374151"/>
          <w:sz w:val="24"/>
          <w:szCs w:val="24"/>
        </w:rPr>
        <w:t xml:space="preserve"> </w:t>
      </w:r>
      <w:r w:rsidR="002A7B1D" w:rsidRPr="0E887DD2">
        <w:rPr>
          <w:color w:val="374151"/>
          <w:sz w:val="24"/>
          <w:szCs w:val="24"/>
        </w:rPr>
        <w:t>Tribunal Members</w:t>
      </w:r>
      <w:r w:rsidR="00E36C8D" w:rsidRPr="0E887DD2">
        <w:rPr>
          <w:color w:val="374151"/>
          <w:sz w:val="24"/>
          <w:szCs w:val="24"/>
        </w:rPr>
        <w:t>,</w:t>
      </w:r>
      <w:r w:rsidR="008C11C9" w:rsidRPr="0E887DD2">
        <w:rPr>
          <w:color w:val="374151"/>
          <w:sz w:val="24"/>
          <w:szCs w:val="24"/>
        </w:rPr>
        <w:t xml:space="preserve"> appointed </w:t>
      </w:r>
      <w:r w:rsidR="000260D7" w:rsidRPr="0E887DD2">
        <w:rPr>
          <w:color w:val="374151"/>
          <w:sz w:val="24"/>
          <w:szCs w:val="24"/>
        </w:rPr>
        <w:t>without merit-</w:t>
      </w:r>
      <w:r w:rsidR="006A596D" w:rsidRPr="0E887DD2">
        <w:rPr>
          <w:color w:val="374151"/>
          <w:sz w:val="24"/>
          <w:szCs w:val="24"/>
        </w:rPr>
        <w:t xml:space="preserve">based selection processes, </w:t>
      </w:r>
      <w:r w:rsidR="00E62BB2" w:rsidRPr="0E887DD2">
        <w:rPr>
          <w:color w:val="374151"/>
          <w:sz w:val="24"/>
          <w:szCs w:val="24"/>
        </w:rPr>
        <w:t xml:space="preserve">demonstrated </w:t>
      </w:r>
      <w:r w:rsidR="00F3033F" w:rsidRPr="0E887DD2">
        <w:rPr>
          <w:color w:val="374151"/>
          <w:sz w:val="24"/>
          <w:szCs w:val="24"/>
        </w:rPr>
        <w:t xml:space="preserve">a </w:t>
      </w:r>
      <w:r w:rsidR="00514635" w:rsidRPr="0E887DD2">
        <w:rPr>
          <w:color w:val="374151"/>
          <w:sz w:val="24"/>
          <w:szCs w:val="24"/>
        </w:rPr>
        <w:t xml:space="preserve">concerning lack of knowledge regarding contemporary </w:t>
      </w:r>
      <w:r w:rsidR="00592613" w:rsidRPr="0E887DD2">
        <w:rPr>
          <w:color w:val="374151"/>
          <w:sz w:val="24"/>
          <w:szCs w:val="24"/>
        </w:rPr>
        <w:t xml:space="preserve">principles, philosophies and conceptions of disability </w:t>
      </w:r>
      <w:r w:rsidR="00350A96" w:rsidRPr="0E887DD2">
        <w:rPr>
          <w:color w:val="374151"/>
          <w:sz w:val="24"/>
          <w:szCs w:val="24"/>
        </w:rPr>
        <w:t>and best-practice understandings of tr</w:t>
      </w:r>
      <w:r w:rsidR="00921DCE" w:rsidRPr="0E887DD2">
        <w:rPr>
          <w:color w:val="374151"/>
          <w:sz w:val="24"/>
          <w:szCs w:val="24"/>
        </w:rPr>
        <w:t>auma</w:t>
      </w:r>
      <w:r w:rsidR="00986C08" w:rsidRPr="0E887DD2">
        <w:rPr>
          <w:color w:val="374151"/>
          <w:sz w:val="24"/>
          <w:szCs w:val="24"/>
        </w:rPr>
        <w:t>-</w:t>
      </w:r>
      <w:r w:rsidR="00921DCE" w:rsidRPr="0E887DD2">
        <w:rPr>
          <w:color w:val="374151"/>
          <w:sz w:val="24"/>
          <w:szCs w:val="24"/>
        </w:rPr>
        <w:t xml:space="preserve">informed </w:t>
      </w:r>
      <w:r w:rsidR="00986C08" w:rsidRPr="0E887DD2">
        <w:rPr>
          <w:color w:val="374151"/>
          <w:sz w:val="24"/>
          <w:szCs w:val="24"/>
        </w:rPr>
        <w:t>conduct.</w:t>
      </w:r>
      <w:r w:rsidR="00FB68C2" w:rsidRPr="0E887DD2">
        <w:rPr>
          <w:color w:val="374151"/>
          <w:sz w:val="24"/>
          <w:szCs w:val="24"/>
        </w:rPr>
        <w:t xml:space="preserve"> </w:t>
      </w:r>
      <w:r w:rsidR="00AE3803" w:rsidRPr="0E887DD2">
        <w:rPr>
          <w:color w:val="374151"/>
          <w:sz w:val="24"/>
          <w:szCs w:val="24"/>
        </w:rPr>
        <w:t xml:space="preserve"> </w:t>
      </w:r>
      <w:r w:rsidR="004A552C" w:rsidRPr="0E887DD2">
        <w:rPr>
          <w:color w:val="374151"/>
          <w:sz w:val="24"/>
          <w:szCs w:val="24"/>
        </w:rPr>
        <w:t xml:space="preserve"> </w:t>
      </w:r>
    </w:p>
    <w:p w14:paraId="345429ED" w14:textId="0CEDE09B" w:rsidR="0073565B" w:rsidRDefault="00A72543" w:rsidP="0E887DD2">
      <w:pPr>
        <w:spacing w:line="360" w:lineRule="auto"/>
        <w:rPr>
          <w:color w:val="374151"/>
          <w:sz w:val="24"/>
          <w:szCs w:val="24"/>
        </w:rPr>
      </w:pPr>
      <w:r w:rsidRPr="0E887DD2">
        <w:rPr>
          <w:color w:val="374151"/>
          <w:sz w:val="24"/>
          <w:szCs w:val="24"/>
        </w:rPr>
        <w:t>Th</w:t>
      </w:r>
      <w:r w:rsidR="00986C08" w:rsidRPr="0E887DD2">
        <w:rPr>
          <w:color w:val="374151"/>
          <w:sz w:val="24"/>
          <w:szCs w:val="24"/>
        </w:rPr>
        <w:t>ankfully, this</w:t>
      </w:r>
      <w:r w:rsidRPr="0E887DD2">
        <w:rPr>
          <w:color w:val="374151"/>
          <w:sz w:val="24"/>
          <w:szCs w:val="24"/>
        </w:rPr>
        <w:t xml:space="preserve"> Bill</w:t>
      </w:r>
      <w:r w:rsidR="00427062" w:rsidRPr="0E887DD2">
        <w:rPr>
          <w:color w:val="374151"/>
          <w:sz w:val="24"/>
          <w:szCs w:val="24"/>
        </w:rPr>
        <w:t xml:space="preserve"> will</w:t>
      </w:r>
      <w:r w:rsidRPr="0E887DD2">
        <w:rPr>
          <w:color w:val="374151"/>
          <w:sz w:val="24"/>
          <w:szCs w:val="24"/>
        </w:rPr>
        <w:t xml:space="preserve"> overhaul the nation's administrative review system</w:t>
      </w:r>
      <w:r w:rsidR="00427062" w:rsidRPr="0E887DD2">
        <w:rPr>
          <w:color w:val="374151"/>
          <w:sz w:val="24"/>
          <w:szCs w:val="24"/>
        </w:rPr>
        <w:t xml:space="preserve">, </w:t>
      </w:r>
      <w:r w:rsidRPr="0E887DD2">
        <w:rPr>
          <w:color w:val="374151"/>
          <w:sz w:val="24"/>
          <w:szCs w:val="24"/>
        </w:rPr>
        <w:t xml:space="preserve">encompassing the dissolution of the AAT and the establishment of a </w:t>
      </w:r>
      <w:r w:rsidR="0035658A" w:rsidRPr="0E887DD2">
        <w:rPr>
          <w:color w:val="374151"/>
          <w:sz w:val="24"/>
          <w:szCs w:val="24"/>
        </w:rPr>
        <w:t xml:space="preserve">new </w:t>
      </w:r>
      <w:r w:rsidRPr="0E887DD2">
        <w:rPr>
          <w:color w:val="374151"/>
          <w:sz w:val="24"/>
          <w:szCs w:val="24"/>
        </w:rPr>
        <w:t>federal administrative review entity</w:t>
      </w:r>
      <w:r w:rsidR="00310DA9" w:rsidRPr="0E887DD2">
        <w:rPr>
          <w:color w:val="374151"/>
          <w:sz w:val="24"/>
          <w:szCs w:val="24"/>
        </w:rPr>
        <w:t>, the Administrative Review Tribunal (the Tribunal</w:t>
      </w:r>
      <w:r w:rsidR="00087094" w:rsidRPr="0E887DD2">
        <w:rPr>
          <w:color w:val="374151"/>
          <w:sz w:val="24"/>
          <w:szCs w:val="24"/>
        </w:rPr>
        <w:t>/ART</w:t>
      </w:r>
      <w:r w:rsidR="00310DA9" w:rsidRPr="0E887DD2">
        <w:rPr>
          <w:color w:val="374151"/>
          <w:sz w:val="24"/>
          <w:szCs w:val="24"/>
        </w:rPr>
        <w:t>)</w:t>
      </w:r>
      <w:r w:rsidRPr="0E887DD2">
        <w:rPr>
          <w:color w:val="374151"/>
          <w:sz w:val="24"/>
          <w:szCs w:val="24"/>
        </w:rPr>
        <w:t>. This initiative</w:t>
      </w:r>
      <w:r w:rsidR="007C2FB3" w:rsidRPr="0E887DD2">
        <w:rPr>
          <w:color w:val="374151"/>
          <w:sz w:val="24"/>
          <w:szCs w:val="24"/>
        </w:rPr>
        <w:t>, by</w:t>
      </w:r>
      <w:r w:rsidRPr="0E887DD2">
        <w:rPr>
          <w:color w:val="374151"/>
          <w:sz w:val="24"/>
          <w:szCs w:val="24"/>
        </w:rPr>
        <w:t xml:space="preserve"> incorporat</w:t>
      </w:r>
      <w:r w:rsidR="007C2FB3" w:rsidRPr="0E887DD2">
        <w:rPr>
          <w:color w:val="374151"/>
          <w:sz w:val="24"/>
          <w:szCs w:val="24"/>
        </w:rPr>
        <w:t>ing</w:t>
      </w:r>
      <w:r w:rsidRPr="0E887DD2">
        <w:rPr>
          <w:color w:val="374151"/>
          <w:sz w:val="24"/>
          <w:szCs w:val="24"/>
        </w:rPr>
        <w:t xml:space="preserve"> the implementation of a transparent, merit-</w:t>
      </w:r>
      <w:r w:rsidR="00576C70" w:rsidRPr="0E887DD2">
        <w:rPr>
          <w:color w:val="374151"/>
          <w:sz w:val="24"/>
          <w:szCs w:val="24"/>
        </w:rPr>
        <w:t>based</w:t>
      </w:r>
      <w:r w:rsidRPr="0E887DD2">
        <w:rPr>
          <w:color w:val="374151"/>
          <w:sz w:val="24"/>
          <w:szCs w:val="24"/>
        </w:rPr>
        <w:t xml:space="preserve"> system for the appointment</w:t>
      </w:r>
      <w:r w:rsidR="00576C70" w:rsidRPr="0E887DD2">
        <w:rPr>
          <w:color w:val="374151"/>
          <w:sz w:val="24"/>
          <w:szCs w:val="24"/>
        </w:rPr>
        <w:t xml:space="preserve"> of tribunal members</w:t>
      </w:r>
      <w:r w:rsidRPr="0E887DD2">
        <w:rPr>
          <w:color w:val="374151"/>
          <w:sz w:val="24"/>
          <w:szCs w:val="24"/>
        </w:rPr>
        <w:t xml:space="preserve"> </w:t>
      </w:r>
      <w:r w:rsidR="00D80DB1" w:rsidRPr="0E887DD2">
        <w:rPr>
          <w:color w:val="374151"/>
          <w:sz w:val="24"/>
          <w:szCs w:val="24"/>
        </w:rPr>
        <w:t xml:space="preserve">who will be responsible for the </w:t>
      </w:r>
      <w:r w:rsidRPr="0E887DD2">
        <w:rPr>
          <w:color w:val="374151"/>
          <w:sz w:val="24"/>
          <w:szCs w:val="24"/>
        </w:rPr>
        <w:t>scrutiny of administrative decisions</w:t>
      </w:r>
      <w:r w:rsidR="00220E94" w:rsidRPr="0E887DD2">
        <w:rPr>
          <w:color w:val="374151"/>
          <w:sz w:val="24"/>
          <w:szCs w:val="24"/>
        </w:rPr>
        <w:t xml:space="preserve">, does address some shortcomings of the previous system. </w:t>
      </w:r>
    </w:p>
    <w:p w14:paraId="0FCF7625" w14:textId="3DFF9207" w:rsidR="00F00641" w:rsidRDefault="00FF7341" w:rsidP="0E887DD2">
      <w:pPr>
        <w:spacing w:line="360" w:lineRule="auto"/>
        <w:rPr>
          <w:color w:val="374151"/>
          <w:sz w:val="24"/>
          <w:szCs w:val="24"/>
        </w:rPr>
      </w:pPr>
      <w:r w:rsidRPr="0E887DD2">
        <w:rPr>
          <w:color w:val="374151"/>
          <w:sz w:val="24"/>
          <w:szCs w:val="24"/>
        </w:rPr>
        <w:t xml:space="preserve">While we understand that the Bill was drafted following </w:t>
      </w:r>
      <w:r w:rsidR="004E4455" w:rsidRPr="0E887DD2">
        <w:rPr>
          <w:color w:val="374151"/>
          <w:sz w:val="24"/>
          <w:szCs w:val="24"/>
        </w:rPr>
        <w:t xml:space="preserve">consultation with the community more broadly, and the disability community specifically, </w:t>
      </w:r>
      <w:r w:rsidR="00424C98" w:rsidRPr="0E887DD2">
        <w:rPr>
          <w:color w:val="374151"/>
          <w:sz w:val="24"/>
          <w:szCs w:val="24"/>
        </w:rPr>
        <w:t xml:space="preserve">there remains scope </w:t>
      </w:r>
      <w:r w:rsidR="000353A4" w:rsidRPr="0E887DD2">
        <w:rPr>
          <w:color w:val="374151"/>
          <w:sz w:val="24"/>
          <w:szCs w:val="24"/>
        </w:rPr>
        <w:t xml:space="preserve">to further strengthen </w:t>
      </w:r>
      <w:r w:rsidR="008B3F18" w:rsidRPr="0E887DD2">
        <w:rPr>
          <w:color w:val="374151"/>
          <w:sz w:val="24"/>
          <w:szCs w:val="24"/>
        </w:rPr>
        <w:t>the proposed legislation</w:t>
      </w:r>
      <w:r w:rsidR="00B0657F" w:rsidRPr="0E887DD2">
        <w:rPr>
          <w:color w:val="374151"/>
          <w:sz w:val="24"/>
          <w:szCs w:val="24"/>
        </w:rPr>
        <w:t xml:space="preserve">, particularly given the </w:t>
      </w:r>
      <w:r w:rsidR="00E94050" w:rsidRPr="0E887DD2">
        <w:rPr>
          <w:color w:val="374151"/>
          <w:sz w:val="24"/>
          <w:szCs w:val="24"/>
        </w:rPr>
        <w:t xml:space="preserve">release of the Final Report of the Disability Royal Commission last year. </w:t>
      </w:r>
      <w:r w:rsidR="006A227A" w:rsidRPr="0E887DD2">
        <w:rPr>
          <w:color w:val="374151"/>
          <w:sz w:val="24"/>
          <w:szCs w:val="24"/>
        </w:rPr>
        <w:t xml:space="preserve">By </w:t>
      </w:r>
      <w:r w:rsidR="002774C2" w:rsidRPr="0E887DD2">
        <w:rPr>
          <w:color w:val="374151"/>
          <w:sz w:val="24"/>
          <w:szCs w:val="24"/>
        </w:rPr>
        <w:t xml:space="preserve">expanding the principles </w:t>
      </w:r>
      <w:r w:rsidR="00A329B1" w:rsidRPr="0E887DD2">
        <w:rPr>
          <w:color w:val="374151"/>
          <w:sz w:val="24"/>
          <w:szCs w:val="24"/>
        </w:rPr>
        <w:t xml:space="preserve">embedded </w:t>
      </w:r>
      <w:r w:rsidR="002774C2" w:rsidRPr="0E887DD2">
        <w:rPr>
          <w:color w:val="374151"/>
          <w:sz w:val="24"/>
          <w:szCs w:val="24"/>
        </w:rPr>
        <w:t>in the Bill beyond mere acces</w:t>
      </w:r>
      <w:r w:rsidR="00586734" w:rsidRPr="0E887DD2">
        <w:rPr>
          <w:color w:val="374151"/>
          <w:sz w:val="24"/>
          <w:szCs w:val="24"/>
        </w:rPr>
        <w:t>sibility, by</w:t>
      </w:r>
      <w:r w:rsidR="00F00641" w:rsidRPr="0E887DD2">
        <w:rPr>
          <w:color w:val="374151"/>
          <w:sz w:val="24"/>
          <w:szCs w:val="24"/>
        </w:rPr>
        <w:t>:</w:t>
      </w:r>
    </w:p>
    <w:p w14:paraId="435EE101" w14:textId="737AD8A6" w:rsidR="00F00641" w:rsidRPr="00F00641" w:rsidRDefault="00586734" w:rsidP="0E887DD2">
      <w:pPr>
        <w:pStyle w:val="ListParagraph"/>
        <w:numPr>
          <w:ilvl w:val="0"/>
          <w:numId w:val="11"/>
        </w:numPr>
        <w:spacing w:line="360" w:lineRule="auto"/>
        <w:rPr>
          <w:color w:val="374151"/>
          <w:sz w:val="24"/>
          <w:szCs w:val="24"/>
        </w:rPr>
      </w:pPr>
      <w:r w:rsidRPr="0E887DD2">
        <w:rPr>
          <w:color w:val="374151"/>
          <w:sz w:val="24"/>
          <w:szCs w:val="24"/>
        </w:rPr>
        <w:t xml:space="preserve">integrating the principles of co-design whenever training and education is </w:t>
      </w:r>
      <w:proofErr w:type="gramStart"/>
      <w:r w:rsidRPr="0E887DD2">
        <w:rPr>
          <w:color w:val="374151"/>
          <w:sz w:val="24"/>
          <w:szCs w:val="24"/>
        </w:rPr>
        <w:t>contemplated</w:t>
      </w:r>
      <w:r w:rsidR="00F157B5" w:rsidRPr="0E887DD2">
        <w:rPr>
          <w:color w:val="374151"/>
          <w:sz w:val="24"/>
          <w:szCs w:val="24"/>
        </w:rPr>
        <w:t>;</w:t>
      </w:r>
      <w:proofErr w:type="gramEnd"/>
    </w:p>
    <w:p w14:paraId="54EDB3B7" w14:textId="25A21248" w:rsidR="00F00641" w:rsidRPr="00F00641" w:rsidRDefault="004A33F6" w:rsidP="0E887DD2">
      <w:pPr>
        <w:pStyle w:val="ListParagraph"/>
        <w:numPr>
          <w:ilvl w:val="0"/>
          <w:numId w:val="11"/>
        </w:numPr>
        <w:spacing w:line="360" w:lineRule="auto"/>
        <w:rPr>
          <w:color w:val="374151"/>
          <w:sz w:val="24"/>
          <w:szCs w:val="24"/>
        </w:rPr>
      </w:pPr>
      <w:r w:rsidRPr="0E887DD2">
        <w:rPr>
          <w:color w:val="374151"/>
          <w:sz w:val="24"/>
          <w:szCs w:val="24"/>
        </w:rPr>
        <w:lastRenderedPageBreak/>
        <w:t>ensuring that lived-experience appointments to the Tribunal</w:t>
      </w:r>
      <w:r w:rsidR="00B806B9" w:rsidRPr="0E887DD2">
        <w:rPr>
          <w:color w:val="374151"/>
          <w:sz w:val="24"/>
          <w:szCs w:val="24"/>
        </w:rPr>
        <w:t xml:space="preserve"> </w:t>
      </w:r>
      <w:r w:rsidR="009D5274" w:rsidRPr="0E887DD2">
        <w:rPr>
          <w:color w:val="374151"/>
          <w:sz w:val="24"/>
          <w:szCs w:val="24"/>
        </w:rPr>
        <w:t xml:space="preserve">are targeted, not </w:t>
      </w:r>
      <w:proofErr w:type="gramStart"/>
      <w:r w:rsidR="009D5274" w:rsidRPr="0E887DD2">
        <w:rPr>
          <w:color w:val="374151"/>
          <w:sz w:val="24"/>
          <w:szCs w:val="24"/>
        </w:rPr>
        <w:t>aspirational</w:t>
      </w:r>
      <w:r w:rsidR="00F157B5" w:rsidRPr="0E887DD2">
        <w:rPr>
          <w:color w:val="374151"/>
          <w:sz w:val="24"/>
          <w:szCs w:val="24"/>
        </w:rPr>
        <w:t>;</w:t>
      </w:r>
      <w:proofErr w:type="gramEnd"/>
    </w:p>
    <w:p w14:paraId="14922A53" w14:textId="378CA2FA" w:rsidR="00F00641" w:rsidRPr="00F00641" w:rsidRDefault="00F00641" w:rsidP="0E887DD2">
      <w:pPr>
        <w:pStyle w:val="ListParagraph"/>
        <w:numPr>
          <w:ilvl w:val="0"/>
          <w:numId w:val="11"/>
        </w:numPr>
        <w:spacing w:line="360" w:lineRule="auto"/>
        <w:rPr>
          <w:color w:val="374151"/>
          <w:sz w:val="24"/>
          <w:szCs w:val="24"/>
        </w:rPr>
      </w:pPr>
      <w:r w:rsidRPr="0E887DD2">
        <w:rPr>
          <w:color w:val="374151"/>
          <w:sz w:val="24"/>
          <w:szCs w:val="24"/>
        </w:rPr>
        <w:t>ensuring</w:t>
      </w:r>
      <w:r w:rsidR="009D5274" w:rsidRPr="0E887DD2">
        <w:rPr>
          <w:color w:val="374151"/>
          <w:sz w:val="24"/>
          <w:szCs w:val="24"/>
        </w:rPr>
        <w:t xml:space="preserve"> that information communicated is accessible to all who receive it</w:t>
      </w:r>
      <w:r w:rsidR="00F157B5" w:rsidRPr="0E887DD2">
        <w:rPr>
          <w:color w:val="374151"/>
          <w:sz w:val="24"/>
          <w:szCs w:val="24"/>
        </w:rPr>
        <w:t>;</w:t>
      </w:r>
      <w:r w:rsidR="00B36463" w:rsidRPr="0E887DD2">
        <w:rPr>
          <w:color w:val="374151"/>
          <w:sz w:val="24"/>
          <w:szCs w:val="24"/>
        </w:rPr>
        <w:t xml:space="preserve"> and </w:t>
      </w:r>
    </w:p>
    <w:p w14:paraId="7CB3E29E" w14:textId="35E202DB" w:rsidR="00F00641" w:rsidRPr="00F00641" w:rsidRDefault="00BB64BD" w:rsidP="0E887DD2">
      <w:pPr>
        <w:pStyle w:val="ListParagraph"/>
        <w:numPr>
          <w:ilvl w:val="0"/>
          <w:numId w:val="11"/>
        </w:numPr>
        <w:spacing w:line="360" w:lineRule="auto"/>
        <w:rPr>
          <w:color w:val="374151"/>
          <w:sz w:val="24"/>
          <w:szCs w:val="24"/>
        </w:rPr>
      </w:pPr>
      <w:r w:rsidRPr="0E887DD2">
        <w:rPr>
          <w:color w:val="374151"/>
          <w:sz w:val="24"/>
          <w:szCs w:val="24"/>
        </w:rPr>
        <w:t xml:space="preserve">ensuring that </w:t>
      </w:r>
      <w:r w:rsidR="00B36463" w:rsidRPr="0E887DD2">
        <w:rPr>
          <w:color w:val="374151"/>
          <w:sz w:val="24"/>
          <w:szCs w:val="24"/>
        </w:rPr>
        <w:t>decision</w:t>
      </w:r>
      <w:r w:rsidR="0074010C" w:rsidRPr="0E887DD2">
        <w:rPr>
          <w:color w:val="374151"/>
          <w:sz w:val="24"/>
          <w:szCs w:val="24"/>
        </w:rPr>
        <w:t>-</w:t>
      </w:r>
      <w:r w:rsidR="00B36463" w:rsidRPr="0E887DD2">
        <w:rPr>
          <w:color w:val="374151"/>
          <w:sz w:val="24"/>
          <w:szCs w:val="24"/>
        </w:rPr>
        <w:t>making ability is supported</w:t>
      </w:r>
      <w:r w:rsidR="00FF33EC" w:rsidRPr="0E887DD2">
        <w:rPr>
          <w:color w:val="374151"/>
          <w:sz w:val="24"/>
          <w:szCs w:val="24"/>
        </w:rPr>
        <w:t xml:space="preserve">, not </w:t>
      </w:r>
      <w:proofErr w:type="gramStart"/>
      <w:r w:rsidR="00FF33EC" w:rsidRPr="0E887DD2">
        <w:rPr>
          <w:color w:val="374151"/>
          <w:sz w:val="24"/>
          <w:szCs w:val="24"/>
        </w:rPr>
        <w:t>substituted</w:t>
      </w:r>
      <w:proofErr w:type="gramEnd"/>
    </w:p>
    <w:p w14:paraId="02DE92C5" w14:textId="3D382285" w:rsidR="00220E94" w:rsidRPr="00146C13" w:rsidRDefault="00FF33EC" w:rsidP="0E887DD2">
      <w:pPr>
        <w:spacing w:line="360" w:lineRule="auto"/>
        <w:rPr>
          <w:rStyle w:val="eop"/>
          <w:b/>
          <w:bCs/>
          <w:color w:val="522E91"/>
          <w:sz w:val="24"/>
          <w:szCs w:val="24"/>
          <w:shd w:val="clear" w:color="auto" w:fill="FFFFFF"/>
        </w:rPr>
      </w:pPr>
      <w:r w:rsidRPr="0E887DD2">
        <w:rPr>
          <w:color w:val="374151"/>
          <w:sz w:val="24"/>
          <w:szCs w:val="24"/>
        </w:rPr>
        <w:t xml:space="preserve">this Bill can </w:t>
      </w:r>
      <w:r w:rsidR="001F0A53" w:rsidRPr="0E887DD2">
        <w:rPr>
          <w:color w:val="374151"/>
          <w:sz w:val="24"/>
          <w:szCs w:val="24"/>
        </w:rPr>
        <w:t xml:space="preserve">increase the chances that </w:t>
      </w:r>
      <w:r w:rsidR="00AE712D" w:rsidRPr="0E887DD2">
        <w:rPr>
          <w:color w:val="374151"/>
          <w:sz w:val="24"/>
          <w:szCs w:val="24"/>
        </w:rPr>
        <w:t xml:space="preserve">the new tribunal </w:t>
      </w:r>
      <w:r w:rsidR="00BB64BD" w:rsidRPr="0E887DD2">
        <w:rPr>
          <w:color w:val="374151"/>
          <w:sz w:val="24"/>
          <w:szCs w:val="24"/>
        </w:rPr>
        <w:t xml:space="preserve">will </w:t>
      </w:r>
      <w:r w:rsidR="00AE712D" w:rsidRPr="0E887DD2">
        <w:rPr>
          <w:color w:val="374151"/>
          <w:sz w:val="24"/>
          <w:szCs w:val="24"/>
        </w:rPr>
        <w:t>make “correct and preferable” decision</w:t>
      </w:r>
      <w:r w:rsidR="00BB64BD" w:rsidRPr="0E887DD2">
        <w:rPr>
          <w:color w:val="374151"/>
          <w:sz w:val="24"/>
          <w:szCs w:val="24"/>
        </w:rPr>
        <w:t>s</w:t>
      </w:r>
      <w:r w:rsidR="00AE712D" w:rsidRPr="0E887DD2">
        <w:rPr>
          <w:color w:val="374151"/>
          <w:sz w:val="24"/>
          <w:szCs w:val="24"/>
        </w:rPr>
        <w:t xml:space="preserve"> when </w:t>
      </w:r>
      <w:r w:rsidR="008932E7" w:rsidRPr="0E887DD2">
        <w:rPr>
          <w:color w:val="374151"/>
          <w:sz w:val="24"/>
          <w:szCs w:val="24"/>
        </w:rPr>
        <w:t xml:space="preserve">reviewing </w:t>
      </w:r>
      <w:r w:rsidR="005152FB" w:rsidRPr="0E887DD2">
        <w:rPr>
          <w:color w:val="374151"/>
          <w:sz w:val="24"/>
          <w:szCs w:val="24"/>
        </w:rPr>
        <w:t>matters where people living with disability are parties, and that all parties leave the process</w:t>
      </w:r>
      <w:r w:rsidR="00322599" w:rsidRPr="0E887DD2">
        <w:rPr>
          <w:color w:val="374151"/>
          <w:sz w:val="24"/>
          <w:szCs w:val="24"/>
        </w:rPr>
        <w:t xml:space="preserve"> not necessarily happy with the outcome, but </w:t>
      </w:r>
      <w:r w:rsidR="003D7149" w:rsidRPr="0E887DD2">
        <w:rPr>
          <w:color w:val="374151"/>
          <w:sz w:val="24"/>
          <w:szCs w:val="24"/>
        </w:rPr>
        <w:t>with faith in and understanding of the process.</w:t>
      </w:r>
      <w:r w:rsidR="004A33F6" w:rsidRPr="0E887DD2">
        <w:rPr>
          <w:color w:val="374151"/>
          <w:sz w:val="24"/>
          <w:szCs w:val="24"/>
        </w:rPr>
        <w:t xml:space="preserve"> </w:t>
      </w:r>
    </w:p>
    <w:p w14:paraId="67AB2EAA" w14:textId="6286A22D" w:rsidR="00E5637C" w:rsidRPr="00162FF8" w:rsidRDefault="00FC43E0" w:rsidP="2C561418">
      <w:pPr>
        <w:pStyle w:val="Heading1"/>
        <w:keepNext w:val="0"/>
        <w:keepLines w:val="0"/>
        <w:spacing w:line="360" w:lineRule="auto"/>
        <w:rPr>
          <w:rStyle w:val="normaltextrun"/>
          <w:rFonts w:cstheme="minorBidi"/>
          <w:color w:val="522E91"/>
          <w:sz w:val="28"/>
          <w:szCs w:val="28"/>
          <w:shd w:val="clear" w:color="auto" w:fill="FFFFFF"/>
        </w:rPr>
      </w:pPr>
      <w:bookmarkStart w:id="2" w:name="_Toc156546016"/>
      <w:r w:rsidRPr="00162FF8">
        <w:rPr>
          <w:rStyle w:val="normaltextrun"/>
          <w:rFonts w:cstheme="minorBidi"/>
          <w:color w:val="522E91"/>
          <w:sz w:val="28"/>
          <w:szCs w:val="28"/>
          <w:shd w:val="clear" w:color="auto" w:fill="FFFFFF"/>
        </w:rPr>
        <w:t xml:space="preserve">3. </w:t>
      </w:r>
      <w:r w:rsidR="0067254A" w:rsidRPr="00162FF8">
        <w:rPr>
          <w:rStyle w:val="normaltextrun"/>
          <w:rFonts w:cstheme="minorBidi"/>
          <w:color w:val="522E91"/>
          <w:sz w:val="28"/>
          <w:szCs w:val="28"/>
          <w:shd w:val="clear" w:color="auto" w:fill="FFFFFF"/>
        </w:rPr>
        <w:t>Principles</w:t>
      </w:r>
      <w:bookmarkEnd w:id="2"/>
    </w:p>
    <w:p w14:paraId="4A647E23" w14:textId="1496C44B" w:rsidR="0067254A" w:rsidRPr="00146C13" w:rsidRDefault="0067254A" w:rsidP="0E887DD2">
      <w:pPr>
        <w:spacing w:line="360" w:lineRule="auto"/>
        <w:rPr>
          <w:color w:val="374151"/>
          <w:sz w:val="24"/>
          <w:szCs w:val="24"/>
        </w:rPr>
      </w:pPr>
      <w:r w:rsidRPr="0E887DD2">
        <w:rPr>
          <w:color w:val="374151"/>
          <w:sz w:val="24"/>
          <w:szCs w:val="24"/>
        </w:rPr>
        <w:t>In 202</w:t>
      </w:r>
      <w:r w:rsidR="009D50AA" w:rsidRPr="0E887DD2">
        <w:rPr>
          <w:color w:val="374151"/>
          <w:sz w:val="24"/>
          <w:szCs w:val="24"/>
        </w:rPr>
        <w:t>2-23, the Administrative Appeals Tribunal received 4</w:t>
      </w:r>
      <w:r w:rsidR="00101551" w:rsidRPr="0E887DD2">
        <w:rPr>
          <w:color w:val="374151"/>
          <w:sz w:val="24"/>
          <w:szCs w:val="24"/>
        </w:rPr>
        <w:t>,</w:t>
      </w:r>
      <w:r w:rsidR="009D50AA" w:rsidRPr="0E887DD2">
        <w:rPr>
          <w:color w:val="374151"/>
          <w:sz w:val="24"/>
          <w:szCs w:val="24"/>
        </w:rPr>
        <w:t xml:space="preserve">271 NDIS </w:t>
      </w:r>
      <w:r w:rsidR="002A7590" w:rsidRPr="0E887DD2">
        <w:rPr>
          <w:color w:val="374151"/>
          <w:sz w:val="24"/>
          <w:szCs w:val="24"/>
        </w:rPr>
        <w:t>appeal applications</w:t>
      </w:r>
      <w:r w:rsidR="00101551" w:rsidRPr="0E887DD2">
        <w:rPr>
          <w:color w:val="374151"/>
          <w:sz w:val="24"/>
          <w:szCs w:val="24"/>
        </w:rPr>
        <w:t xml:space="preserve"> and</w:t>
      </w:r>
      <w:r w:rsidR="002A7590" w:rsidRPr="0E887DD2">
        <w:rPr>
          <w:color w:val="374151"/>
          <w:sz w:val="24"/>
          <w:szCs w:val="24"/>
        </w:rPr>
        <w:t xml:space="preserve"> </w:t>
      </w:r>
      <w:r w:rsidR="002B0F81" w:rsidRPr="0E887DD2">
        <w:rPr>
          <w:color w:val="374151"/>
          <w:sz w:val="24"/>
          <w:szCs w:val="24"/>
        </w:rPr>
        <w:t>12</w:t>
      </w:r>
      <w:r w:rsidR="00101551" w:rsidRPr="0E887DD2">
        <w:rPr>
          <w:color w:val="374151"/>
          <w:sz w:val="24"/>
          <w:szCs w:val="24"/>
        </w:rPr>
        <w:t>,</w:t>
      </w:r>
      <w:r w:rsidR="002B0F81" w:rsidRPr="0E887DD2">
        <w:rPr>
          <w:color w:val="374151"/>
          <w:sz w:val="24"/>
          <w:szCs w:val="24"/>
        </w:rPr>
        <w:t>260 Social Services and Child Support</w:t>
      </w:r>
      <w:r w:rsidR="00043E7F" w:rsidRPr="0E887DD2">
        <w:rPr>
          <w:color w:val="374151"/>
          <w:sz w:val="24"/>
          <w:szCs w:val="24"/>
        </w:rPr>
        <w:t xml:space="preserve"> (SSCS)</w:t>
      </w:r>
      <w:r w:rsidR="002B0F81" w:rsidRPr="0E887DD2">
        <w:rPr>
          <w:color w:val="374151"/>
          <w:sz w:val="24"/>
          <w:szCs w:val="24"/>
        </w:rPr>
        <w:t xml:space="preserve"> </w:t>
      </w:r>
      <w:hyperlink r:id="rId12">
        <w:r w:rsidR="00043E7F" w:rsidRPr="0E887DD2">
          <w:rPr>
            <w:rStyle w:val="Hyperlink"/>
            <w:sz w:val="24"/>
            <w:szCs w:val="24"/>
          </w:rPr>
          <w:t>a</w:t>
        </w:r>
        <w:r w:rsidR="002B0F81" w:rsidRPr="0E887DD2">
          <w:rPr>
            <w:rStyle w:val="Hyperlink"/>
            <w:sz w:val="24"/>
            <w:szCs w:val="24"/>
          </w:rPr>
          <w:t>pplications</w:t>
        </w:r>
      </w:hyperlink>
      <w:r w:rsidR="00F041ED" w:rsidRPr="0E887DD2">
        <w:rPr>
          <w:color w:val="374151"/>
          <w:sz w:val="24"/>
          <w:szCs w:val="24"/>
        </w:rPr>
        <w:t xml:space="preserve">. This comprised approximately 40% of the AAT’s workload. </w:t>
      </w:r>
      <w:r w:rsidR="76177CA6" w:rsidRPr="0E887DD2">
        <w:rPr>
          <w:color w:val="374151"/>
          <w:sz w:val="24"/>
          <w:szCs w:val="24"/>
        </w:rPr>
        <w:t xml:space="preserve">Most </w:t>
      </w:r>
      <w:r w:rsidR="001C2C23" w:rsidRPr="0E887DD2">
        <w:rPr>
          <w:color w:val="374151"/>
          <w:sz w:val="24"/>
          <w:szCs w:val="24"/>
        </w:rPr>
        <w:t xml:space="preserve">to </w:t>
      </w:r>
      <w:r w:rsidR="002073F9" w:rsidRPr="0E887DD2">
        <w:rPr>
          <w:color w:val="374151"/>
          <w:sz w:val="24"/>
          <w:szCs w:val="24"/>
        </w:rPr>
        <w:t xml:space="preserve">NDIS appeals </w:t>
      </w:r>
      <w:r w:rsidR="001C2C23" w:rsidRPr="0E887DD2">
        <w:rPr>
          <w:color w:val="374151"/>
          <w:sz w:val="24"/>
          <w:szCs w:val="24"/>
        </w:rPr>
        <w:t xml:space="preserve">are </w:t>
      </w:r>
      <w:r w:rsidR="00B05769" w:rsidRPr="0E887DD2">
        <w:rPr>
          <w:color w:val="374151"/>
          <w:sz w:val="24"/>
          <w:szCs w:val="24"/>
        </w:rPr>
        <w:t>people living with disability</w:t>
      </w:r>
      <w:r w:rsidR="00651EFC" w:rsidRPr="0E887DD2">
        <w:rPr>
          <w:color w:val="374151"/>
          <w:sz w:val="24"/>
          <w:szCs w:val="24"/>
        </w:rPr>
        <w:t xml:space="preserve">, </w:t>
      </w:r>
      <w:r w:rsidR="00B05769" w:rsidRPr="0E887DD2">
        <w:rPr>
          <w:color w:val="374151"/>
          <w:sz w:val="24"/>
          <w:szCs w:val="24"/>
        </w:rPr>
        <w:t xml:space="preserve">and a significant percentage of </w:t>
      </w:r>
      <w:r w:rsidR="001340D0" w:rsidRPr="0E887DD2">
        <w:rPr>
          <w:color w:val="374151"/>
          <w:sz w:val="24"/>
          <w:szCs w:val="24"/>
        </w:rPr>
        <w:t xml:space="preserve">applicants </w:t>
      </w:r>
      <w:r w:rsidR="00043E7F" w:rsidRPr="0E887DD2">
        <w:rPr>
          <w:color w:val="374151"/>
          <w:sz w:val="24"/>
          <w:szCs w:val="24"/>
        </w:rPr>
        <w:t>to SSCS</w:t>
      </w:r>
      <w:r w:rsidR="00492426" w:rsidRPr="0E887DD2">
        <w:rPr>
          <w:color w:val="374151"/>
          <w:sz w:val="24"/>
          <w:szCs w:val="24"/>
        </w:rPr>
        <w:t>, Veterans and Migration</w:t>
      </w:r>
      <w:r w:rsidR="00043E7F" w:rsidRPr="0E887DD2">
        <w:rPr>
          <w:color w:val="374151"/>
          <w:sz w:val="24"/>
          <w:szCs w:val="24"/>
        </w:rPr>
        <w:t xml:space="preserve"> </w:t>
      </w:r>
      <w:r w:rsidR="001340D0" w:rsidRPr="0E887DD2">
        <w:rPr>
          <w:color w:val="374151"/>
          <w:sz w:val="24"/>
          <w:szCs w:val="24"/>
        </w:rPr>
        <w:t>appeals also live with disability</w:t>
      </w:r>
      <w:r w:rsidR="006F7D30" w:rsidRPr="0E887DD2">
        <w:rPr>
          <w:color w:val="374151"/>
          <w:sz w:val="24"/>
          <w:szCs w:val="24"/>
        </w:rPr>
        <w:t>. It</w:t>
      </w:r>
      <w:r w:rsidR="00043E7F" w:rsidRPr="0E887DD2">
        <w:rPr>
          <w:color w:val="374151"/>
          <w:sz w:val="24"/>
          <w:szCs w:val="24"/>
        </w:rPr>
        <w:t xml:space="preserve"> is </w:t>
      </w:r>
      <w:r w:rsidR="006F7D30" w:rsidRPr="0E887DD2">
        <w:rPr>
          <w:color w:val="374151"/>
          <w:sz w:val="24"/>
          <w:szCs w:val="24"/>
        </w:rPr>
        <w:t xml:space="preserve">therefore </w:t>
      </w:r>
      <w:r w:rsidR="00043E7F" w:rsidRPr="0E887DD2">
        <w:rPr>
          <w:color w:val="374151"/>
          <w:sz w:val="24"/>
          <w:szCs w:val="24"/>
        </w:rPr>
        <w:t xml:space="preserve">imperative that the </w:t>
      </w:r>
      <w:r w:rsidR="00EB1CA0" w:rsidRPr="0E887DD2">
        <w:rPr>
          <w:color w:val="374151"/>
          <w:sz w:val="24"/>
          <w:szCs w:val="24"/>
        </w:rPr>
        <w:t xml:space="preserve">general </w:t>
      </w:r>
      <w:r w:rsidR="00043E7F" w:rsidRPr="0E887DD2">
        <w:rPr>
          <w:color w:val="374151"/>
          <w:sz w:val="24"/>
          <w:szCs w:val="24"/>
        </w:rPr>
        <w:t>principles</w:t>
      </w:r>
      <w:r w:rsidR="00170F57" w:rsidRPr="0E887DD2">
        <w:rPr>
          <w:color w:val="374151"/>
          <w:sz w:val="24"/>
          <w:szCs w:val="24"/>
        </w:rPr>
        <w:t xml:space="preserve"> </w:t>
      </w:r>
      <w:r w:rsidR="00B51C01" w:rsidRPr="0E887DD2">
        <w:rPr>
          <w:color w:val="374151"/>
          <w:sz w:val="24"/>
          <w:szCs w:val="24"/>
        </w:rPr>
        <w:t xml:space="preserve">regarding </w:t>
      </w:r>
      <w:r w:rsidR="007C0F62" w:rsidRPr="0E887DD2">
        <w:rPr>
          <w:color w:val="374151"/>
          <w:sz w:val="24"/>
          <w:szCs w:val="24"/>
        </w:rPr>
        <w:t>T</w:t>
      </w:r>
      <w:r w:rsidR="00B51C01" w:rsidRPr="0E887DD2">
        <w:rPr>
          <w:color w:val="374151"/>
          <w:sz w:val="24"/>
          <w:szCs w:val="24"/>
        </w:rPr>
        <w:t xml:space="preserve">ribunal procedure </w:t>
      </w:r>
      <w:r w:rsidR="00170F57" w:rsidRPr="0E887DD2">
        <w:rPr>
          <w:color w:val="374151"/>
          <w:sz w:val="24"/>
          <w:szCs w:val="24"/>
        </w:rPr>
        <w:t xml:space="preserve">in </w:t>
      </w:r>
      <w:r w:rsidR="0095604F" w:rsidRPr="0E887DD2">
        <w:rPr>
          <w:color w:val="374151"/>
          <w:sz w:val="24"/>
          <w:szCs w:val="24"/>
        </w:rPr>
        <w:t>D</w:t>
      </w:r>
      <w:r w:rsidR="006E02D9" w:rsidRPr="0E887DD2">
        <w:rPr>
          <w:color w:val="374151"/>
          <w:sz w:val="24"/>
          <w:szCs w:val="24"/>
        </w:rPr>
        <w:t>ivision 5 of Part 4</w:t>
      </w:r>
      <w:r w:rsidR="00945747" w:rsidRPr="0E887DD2">
        <w:rPr>
          <w:color w:val="374151"/>
          <w:sz w:val="24"/>
          <w:szCs w:val="24"/>
        </w:rPr>
        <w:t xml:space="preserve"> of the Bill </w:t>
      </w:r>
      <w:r w:rsidR="009D0CF6" w:rsidRPr="0E887DD2">
        <w:rPr>
          <w:color w:val="374151"/>
          <w:sz w:val="24"/>
          <w:szCs w:val="24"/>
        </w:rPr>
        <w:t xml:space="preserve">are framed with sufficient specificity </w:t>
      </w:r>
      <w:r w:rsidR="00100CF7" w:rsidRPr="0E887DD2">
        <w:rPr>
          <w:color w:val="374151"/>
          <w:sz w:val="24"/>
          <w:szCs w:val="24"/>
        </w:rPr>
        <w:t xml:space="preserve">and guidance </w:t>
      </w:r>
      <w:r w:rsidR="00B51C01" w:rsidRPr="0E887DD2">
        <w:rPr>
          <w:color w:val="374151"/>
          <w:sz w:val="24"/>
          <w:szCs w:val="24"/>
        </w:rPr>
        <w:t xml:space="preserve">to </w:t>
      </w:r>
      <w:r w:rsidR="007D7B4F" w:rsidRPr="0E887DD2">
        <w:rPr>
          <w:color w:val="374151"/>
          <w:sz w:val="24"/>
          <w:szCs w:val="24"/>
        </w:rPr>
        <w:t>meet</w:t>
      </w:r>
      <w:r w:rsidR="00B51C01" w:rsidRPr="0E887DD2">
        <w:rPr>
          <w:color w:val="374151"/>
          <w:sz w:val="24"/>
          <w:szCs w:val="24"/>
        </w:rPr>
        <w:t xml:space="preserve"> the </w:t>
      </w:r>
      <w:r w:rsidR="00BA4592" w:rsidRPr="0E887DD2">
        <w:rPr>
          <w:color w:val="374151"/>
          <w:sz w:val="24"/>
          <w:szCs w:val="24"/>
        </w:rPr>
        <w:t xml:space="preserve">needs of parties living with disability. </w:t>
      </w:r>
    </w:p>
    <w:p w14:paraId="5CA01DCD" w14:textId="25B3D948" w:rsidR="008B75F9" w:rsidRPr="00146C13" w:rsidRDefault="00364094" w:rsidP="0E887DD2">
      <w:pPr>
        <w:spacing w:line="360" w:lineRule="auto"/>
        <w:rPr>
          <w:color w:val="374151"/>
          <w:sz w:val="24"/>
          <w:szCs w:val="24"/>
        </w:rPr>
      </w:pPr>
      <w:r w:rsidRPr="0E887DD2">
        <w:rPr>
          <w:color w:val="374151"/>
          <w:sz w:val="24"/>
          <w:szCs w:val="24"/>
        </w:rPr>
        <w:t>While we welcome the inclusion of cl</w:t>
      </w:r>
      <w:r w:rsidR="00F353AD" w:rsidRPr="0E887DD2">
        <w:rPr>
          <w:color w:val="374151"/>
          <w:sz w:val="24"/>
          <w:szCs w:val="24"/>
        </w:rPr>
        <w:t>ause</w:t>
      </w:r>
      <w:r w:rsidRPr="0E887DD2">
        <w:rPr>
          <w:color w:val="374151"/>
          <w:sz w:val="24"/>
          <w:szCs w:val="24"/>
        </w:rPr>
        <w:t xml:space="preserve"> 51, which </w:t>
      </w:r>
      <w:r w:rsidR="007C0F62" w:rsidRPr="0E887DD2">
        <w:rPr>
          <w:color w:val="374151"/>
          <w:sz w:val="24"/>
          <w:szCs w:val="24"/>
        </w:rPr>
        <w:t xml:space="preserve">requires that the Tribunal, as far as practicable, </w:t>
      </w:r>
      <w:r w:rsidR="00F04624" w:rsidRPr="0E887DD2">
        <w:rPr>
          <w:color w:val="374151"/>
          <w:sz w:val="24"/>
          <w:szCs w:val="24"/>
        </w:rPr>
        <w:t>must conduct proceedings</w:t>
      </w:r>
      <w:r w:rsidR="00D808D3" w:rsidRPr="0E887DD2">
        <w:rPr>
          <w:color w:val="374151"/>
          <w:sz w:val="24"/>
          <w:szCs w:val="24"/>
        </w:rPr>
        <w:t xml:space="preserve"> in </w:t>
      </w:r>
      <w:r w:rsidR="004B07F9" w:rsidRPr="0E887DD2">
        <w:rPr>
          <w:color w:val="374151"/>
          <w:sz w:val="24"/>
          <w:szCs w:val="24"/>
        </w:rPr>
        <w:t xml:space="preserve">an </w:t>
      </w:r>
      <w:r w:rsidR="00D808D3" w:rsidRPr="0E887DD2">
        <w:rPr>
          <w:color w:val="374151"/>
          <w:sz w:val="24"/>
          <w:szCs w:val="24"/>
        </w:rPr>
        <w:t xml:space="preserve">accessible manner and </w:t>
      </w:r>
      <w:r w:rsidR="001A5EE6" w:rsidRPr="0E887DD2">
        <w:rPr>
          <w:color w:val="374151"/>
          <w:sz w:val="24"/>
          <w:szCs w:val="24"/>
        </w:rPr>
        <w:t>consider</w:t>
      </w:r>
      <w:r w:rsidR="00D808D3" w:rsidRPr="0E887DD2">
        <w:rPr>
          <w:color w:val="374151"/>
          <w:sz w:val="24"/>
          <w:szCs w:val="24"/>
        </w:rPr>
        <w:t xml:space="preserve"> the needs of the parties, </w:t>
      </w:r>
      <w:r w:rsidR="001E74CF" w:rsidRPr="0E887DD2">
        <w:rPr>
          <w:color w:val="374151"/>
          <w:sz w:val="24"/>
          <w:szCs w:val="24"/>
        </w:rPr>
        <w:t xml:space="preserve">this clause could be further strengthened </w:t>
      </w:r>
      <w:r w:rsidR="00FE0B14" w:rsidRPr="0E887DD2">
        <w:rPr>
          <w:color w:val="374151"/>
          <w:sz w:val="24"/>
          <w:szCs w:val="24"/>
        </w:rPr>
        <w:t>by integra</w:t>
      </w:r>
      <w:r w:rsidR="0049659C" w:rsidRPr="0E887DD2">
        <w:rPr>
          <w:color w:val="374151"/>
          <w:sz w:val="24"/>
          <w:szCs w:val="24"/>
        </w:rPr>
        <w:t>ting</w:t>
      </w:r>
      <w:r w:rsidR="00B42996" w:rsidRPr="0E887DD2">
        <w:rPr>
          <w:color w:val="374151"/>
          <w:sz w:val="24"/>
          <w:szCs w:val="24"/>
        </w:rPr>
        <w:t xml:space="preserve"> concepts drawn from</w:t>
      </w:r>
      <w:r w:rsidR="008B75F9" w:rsidRPr="0E887DD2">
        <w:rPr>
          <w:color w:val="374151"/>
          <w:sz w:val="24"/>
          <w:szCs w:val="24"/>
        </w:rPr>
        <w:t>:</w:t>
      </w:r>
    </w:p>
    <w:p w14:paraId="1B9FF708" w14:textId="459BE15D" w:rsidR="00D85B83" w:rsidRPr="00146C13" w:rsidRDefault="008B75F9" w:rsidP="0E887DD2">
      <w:pPr>
        <w:spacing w:line="360" w:lineRule="auto"/>
        <w:ind w:firstLine="720"/>
        <w:rPr>
          <w:color w:val="374151"/>
          <w:sz w:val="24"/>
          <w:szCs w:val="24"/>
        </w:rPr>
      </w:pPr>
      <w:r w:rsidRPr="0E887DD2">
        <w:rPr>
          <w:color w:val="374151"/>
          <w:sz w:val="24"/>
          <w:szCs w:val="24"/>
        </w:rPr>
        <w:t>a)</w:t>
      </w:r>
      <w:r w:rsidR="0049659C" w:rsidRPr="0E887DD2">
        <w:rPr>
          <w:color w:val="374151"/>
          <w:sz w:val="24"/>
          <w:szCs w:val="24"/>
        </w:rPr>
        <w:t xml:space="preserve"> </w:t>
      </w:r>
      <w:r w:rsidR="00B44433" w:rsidRPr="0E887DD2">
        <w:rPr>
          <w:color w:val="374151"/>
          <w:sz w:val="24"/>
          <w:szCs w:val="24"/>
        </w:rPr>
        <w:t xml:space="preserve">the </w:t>
      </w:r>
      <w:r w:rsidR="00B44433" w:rsidRPr="0E887DD2">
        <w:rPr>
          <w:i/>
          <w:iCs/>
          <w:color w:val="374151"/>
          <w:sz w:val="24"/>
          <w:szCs w:val="24"/>
        </w:rPr>
        <w:t>UN Convention on Rights of People with Disability</w:t>
      </w:r>
      <w:r w:rsidR="00B44433" w:rsidRPr="0E887DD2">
        <w:rPr>
          <w:color w:val="374151"/>
          <w:sz w:val="24"/>
          <w:szCs w:val="24"/>
        </w:rPr>
        <w:t xml:space="preserve"> (UNCRPD)</w:t>
      </w:r>
    </w:p>
    <w:p w14:paraId="43EF158B" w14:textId="2B96681B" w:rsidR="00BA4592" w:rsidRPr="00146C13" w:rsidRDefault="00347DBA" w:rsidP="0E887DD2">
      <w:pPr>
        <w:spacing w:line="360" w:lineRule="auto"/>
        <w:ind w:left="720"/>
        <w:rPr>
          <w:color w:val="374151"/>
          <w:sz w:val="24"/>
          <w:szCs w:val="24"/>
        </w:rPr>
      </w:pPr>
      <w:r w:rsidRPr="0E887DD2">
        <w:rPr>
          <w:color w:val="374151"/>
          <w:sz w:val="24"/>
          <w:szCs w:val="24"/>
        </w:rPr>
        <w:t xml:space="preserve">b) </w:t>
      </w:r>
      <w:r w:rsidR="00A67118" w:rsidRPr="0E887DD2">
        <w:rPr>
          <w:color w:val="374151"/>
          <w:sz w:val="24"/>
          <w:szCs w:val="24"/>
        </w:rPr>
        <w:t xml:space="preserve">Submissions from the Public </w:t>
      </w:r>
      <w:r w:rsidR="00F605F6" w:rsidRPr="0E887DD2">
        <w:rPr>
          <w:color w:val="374151"/>
          <w:sz w:val="24"/>
          <w:szCs w:val="24"/>
        </w:rPr>
        <w:t>Interest Advocacy Centre</w:t>
      </w:r>
      <w:r w:rsidR="00D61B59" w:rsidRPr="0E887DD2">
        <w:rPr>
          <w:color w:val="374151"/>
          <w:sz w:val="24"/>
          <w:szCs w:val="24"/>
        </w:rPr>
        <w:t xml:space="preserve"> (PIAC)</w:t>
      </w:r>
      <w:r w:rsidR="00F605F6" w:rsidRPr="0E887DD2">
        <w:rPr>
          <w:color w:val="374151"/>
          <w:sz w:val="24"/>
          <w:szCs w:val="24"/>
        </w:rPr>
        <w:t xml:space="preserve"> </w:t>
      </w:r>
      <w:r w:rsidR="009D2FEB" w:rsidRPr="0E887DD2">
        <w:rPr>
          <w:color w:val="374151"/>
          <w:sz w:val="24"/>
          <w:szCs w:val="24"/>
        </w:rPr>
        <w:t xml:space="preserve">as advocated by the Disability Advocacy Network Australia in their </w:t>
      </w:r>
      <w:r w:rsidR="004116F2" w:rsidRPr="0E887DD2">
        <w:rPr>
          <w:color w:val="374151"/>
          <w:sz w:val="24"/>
          <w:szCs w:val="24"/>
        </w:rPr>
        <w:t xml:space="preserve">submission from May 12 of last year </w:t>
      </w:r>
      <w:r w:rsidR="008B75F9" w:rsidRPr="0E887DD2">
        <w:rPr>
          <w:color w:val="374151"/>
          <w:sz w:val="24"/>
          <w:szCs w:val="24"/>
        </w:rPr>
        <w:t>in response</w:t>
      </w:r>
      <w:r w:rsidR="005F267B" w:rsidRPr="0E887DD2">
        <w:rPr>
          <w:color w:val="374151"/>
          <w:sz w:val="24"/>
          <w:szCs w:val="24"/>
        </w:rPr>
        <w:t xml:space="preserve"> to the</w:t>
      </w:r>
      <w:r w:rsidR="00F04624" w:rsidRPr="0E887DD2">
        <w:rPr>
          <w:color w:val="374151"/>
          <w:sz w:val="24"/>
          <w:szCs w:val="24"/>
        </w:rPr>
        <w:t xml:space="preserve"> </w:t>
      </w:r>
      <w:r w:rsidR="005F267B" w:rsidRPr="0E887DD2">
        <w:rPr>
          <w:i/>
          <w:iCs/>
          <w:color w:val="374151"/>
          <w:sz w:val="24"/>
          <w:szCs w:val="24"/>
        </w:rPr>
        <w:t>Administrative Review Reform: Issues Paper</w:t>
      </w:r>
      <w:r w:rsidR="00495D38" w:rsidRPr="0E887DD2">
        <w:rPr>
          <w:rStyle w:val="FootnoteReference"/>
          <w:i/>
          <w:iCs/>
          <w:color w:val="374151"/>
          <w:sz w:val="24"/>
          <w:szCs w:val="24"/>
        </w:rPr>
        <w:footnoteReference w:id="2"/>
      </w:r>
      <w:r w:rsidR="00D85B83" w:rsidRPr="0E887DD2">
        <w:rPr>
          <w:color w:val="374151"/>
          <w:sz w:val="24"/>
          <w:szCs w:val="24"/>
        </w:rPr>
        <w:t xml:space="preserve"> </w:t>
      </w:r>
      <w:proofErr w:type="gramStart"/>
      <w:r w:rsidR="00D85B83" w:rsidRPr="0E887DD2">
        <w:rPr>
          <w:color w:val="374151"/>
          <w:sz w:val="24"/>
          <w:szCs w:val="24"/>
        </w:rPr>
        <w:t>and;</w:t>
      </w:r>
      <w:proofErr w:type="gramEnd"/>
      <w:r w:rsidR="005F267B" w:rsidRPr="0E887DD2">
        <w:rPr>
          <w:color w:val="374151"/>
          <w:sz w:val="24"/>
          <w:szCs w:val="24"/>
        </w:rPr>
        <w:t xml:space="preserve"> </w:t>
      </w:r>
    </w:p>
    <w:p w14:paraId="67251255" w14:textId="23DD8538" w:rsidR="00131178" w:rsidRPr="00146C13" w:rsidRDefault="00347DBA" w:rsidP="0E887DD2">
      <w:pPr>
        <w:spacing w:line="360" w:lineRule="auto"/>
        <w:ind w:left="720"/>
        <w:rPr>
          <w:color w:val="374151"/>
          <w:sz w:val="24"/>
          <w:szCs w:val="24"/>
        </w:rPr>
      </w:pPr>
      <w:r w:rsidRPr="0E887DD2">
        <w:rPr>
          <w:color w:val="374151"/>
          <w:sz w:val="24"/>
          <w:szCs w:val="24"/>
        </w:rPr>
        <w:t>c</w:t>
      </w:r>
      <w:r w:rsidR="00131178" w:rsidRPr="0E887DD2">
        <w:rPr>
          <w:color w:val="374151"/>
          <w:sz w:val="24"/>
          <w:szCs w:val="24"/>
        </w:rPr>
        <w:t xml:space="preserve">) </w:t>
      </w:r>
      <w:r w:rsidR="00DA1EAA" w:rsidRPr="0E887DD2">
        <w:rPr>
          <w:color w:val="374151"/>
          <w:sz w:val="24"/>
          <w:szCs w:val="24"/>
        </w:rPr>
        <w:t>Graeme Innes AM’s ‘Interim Report on long-term options for dispute resolution under the NDIS’, December 2022.</w:t>
      </w:r>
    </w:p>
    <w:p w14:paraId="1998A9E8" w14:textId="7FAE7DE5" w:rsidR="00CF24A9" w:rsidRDefault="00B32D5C" w:rsidP="0E887DD2">
      <w:pPr>
        <w:spacing w:line="360" w:lineRule="auto"/>
        <w:rPr>
          <w:color w:val="374151"/>
          <w:sz w:val="24"/>
          <w:szCs w:val="24"/>
        </w:rPr>
      </w:pPr>
      <w:r w:rsidRPr="0E887DD2">
        <w:rPr>
          <w:color w:val="374151"/>
          <w:sz w:val="24"/>
          <w:szCs w:val="24"/>
        </w:rPr>
        <w:lastRenderedPageBreak/>
        <w:t>W</w:t>
      </w:r>
      <w:r w:rsidR="00CA1C51" w:rsidRPr="0E887DD2">
        <w:rPr>
          <w:color w:val="374151"/>
          <w:sz w:val="24"/>
          <w:szCs w:val="24"/>
        </w:rPr>
        <w:t>e do note that some</w:t>
      </w:r>
      <w:r w:rsidR="00D61B59" w:rsidRPr="0E887DD2">
        <w:rPr>
          <w:color w:val="374151"/>
          <w:sz w:val="24"/>
          <w:szCs w:val="24"/>
        </w:rPr>
        <w:t xml:space="preserve"> of the PIAC’s principles</w:t>
      </w:r>
      <w:r w:rsidR="00144405" w:rsidRPr="0E887DD2">
        <w:rPr>
          <w:color w:val="374151"/>
          <w:sz w:val="24"/>
          <w:szCs w:val="24"/>
        </w:rPr>
        <w:t xml:space="preserve">, such as informality, accessibility, independence, </w:t>
      </w:r>
      <w:proofErr w:type="gramStart"/>
      <w:r w:rsidR="00144405" w:rsidRPr="0E887DD2">
        <w:rPr>
          <w:color w:val="374151"/>
          <w:sz w:val="24"/>
          <w:szCs w:val="24"/>
        </w:rPr>
        <w:t>transparency</w:t>
      </w:r>
      <w:proofErr w:type="gramEnd"/>
      <w:r w:rsidR="00144405" w:rsidRPr="0E887DD2">
        <w:rPr>
          <w:color w:val="374151"/>
          <w:sz w:val="24"/>
          <w:szCs w:val="24"/>
        </w:rPr>
        <w:t xml:space="preserve"> </w:t>
      </w:r>
      <w:r w:rsidR="00CF0C81" w:rsidRPr="0E887DD2">
        <w:rPr>
          <w:color w:val="374151"/>
          <w:sz w:val="24"/>
          <w:szCs w:val="24"/>
        </w:rPr>
        <w:t>and timeliness</w:t>
      </w:r>
      <w:r w:rsidR="0063612C" w:rsidRPr="0E887DD2">
        <w:rPr>
          <w:rStyle w:val="FootnoteReference"/>
          <w:color w:val="374151"/>
          <w:sz w:val="24"/>
          <w:szCs w:val="24"/>
        </w:rPr>
        <w:footnoteReference w:id="3"/>
      </w:r>
      <w:r w:rsidR="00CF0C81" w:rsidRPr="0E887DD2">
        <w:rPr>
          <w:color w:val="374151"/>
          <w:sz w:val="24"/>
          <w:szCs w:val="24"/>
        </w:rPr>
        <w:t xml:space="preserve"> are</w:t>
      </w:r>
      <w:r w:rsidRPr="0E887DD2">
        <w:rPr>
          <w:color w:val="374151"/>
          <w:sz w:val="24"/>
          <w:szCs w:val="24"/>
        </w:rPr>
        <w:t xml:space="preserve"> prescribed within the Bill, while accountability measures, such as the Code of Conduct for Members </w:t>
      </w:r>
      <w:r w:rsidR="0029709E" w:rsidRPr="0E887DD2">
        <w:rPr>
          <w:color w:val="374151"/>
          <w:sz w:val="24"/>
          <w:szCs w:val="24"/>
        </w:rPr>
        <w:t>and</w:t>
      </w:r>
      <w:r w:rsidR="0012393C" w:rsidRPr="0E887DD2">
        <w:rPr>
          <w:color w:val="374151"/>
          <w:sz w:val="24"/>
          <w:szCs w:val="24"/>
        </w:rPr>
        <w:t xml:space="preserve"> merit-based recruitment </w:t>
      </w:r>
      <w:r w:rsidR="00B3364D" w:rsidRPr="0E887DD2">
        <w:rPr>
          <w:color w:val="374151"/>
          <w:sz w:val="24"/>
          <w:szCs w:val="24"/>
        </w:rPr>
        <w:t xml:space="preserve">address, to an extent, </w:t>
      </w:r>
      <w:r w:rsidR="1DF80602" w:rsidRPr="0E887DD2">
        <w:rPr>
          <w:color w:val="374151"/>
          <w:sz w:val="24"/>
          <w:szCs w:val="24"/>
        </w:rPr>
        <w:t>address</w:t>
      </w:r>
      <w:r w:rsidR="00BB6472" w:rsidRPr="0E887DD2">
        <w:rPr>
          <w:color w:val="374151"/>
          <w:sz w:val="24"/>
          <w:szCs w:val="24"/>
        </w:rPr>
        <w:t xml:space="preserve"> </w:t>
      </w:r>
      <w:r w:rsidR="00B3364D" w:rsidRPr="0E887DD2">
        <w:rPr>
          <w:color w:val="374151"/>
          <w:sz w:val="24"/>
          <w:szCs w:val="24"/>
        </w:rPr>
        <w:t>Graeme Innes AM’s call for an accountability mechanism.</w:t>
      </w:r>
      <w:r w:rsidR="0029709E" w:rsidRPr="0E887DD2">
        <w:rPr>
          <w:color w:val="374151"/>
          <w:sz w:val="24"/>
          <w:szCs w:val="24"/>
        </w:rPr>
        <w:t xml:space="preserve"> </w:t>
      </w:r>
      <w:r w:rsidRPr="0E887DD2">
        <w:rPr>
          <w:color w:val="374151"/>
          <w:sz w:val="24"/>
          <w:szCs w:val="24"/>
        </w:rPr>
        <w:t xml:space="preserve"> </w:t>
      </w:r>
      <w:r w:rsidR="00B3364D" w:rsidRPr="0E887DD2">
        <w:rPr>
          <w:color w:val="374151"/>
          <w:sz w:val="24"/>
          <w:szCs w:val="24"/>
        </w:rPr>
        <w:t>Further accountability, though, could be</w:t>
      </w:r>
      <w:r w:rsidR="0012532A" w:rsidRPr="0E887DD2">
        <w:rPr>
          <w:color w:val="374151"/>
          <w:sz w:val="24"/>
          <w:szCs w:val="24"/>
        </w:rPr>
        <w:t xml:space="preserve"> embedded within the new institution by including</w:t>
      </w:r>
      <w:r w:rsidR="00B3364D" w:rsidRPr="0E887DD2">
        <w:rPr>
          <w:color w:val="374151"/>
          <w:sz w:val="24"/>
          <w:szCs w:val="24"/>
        </w:rPr>
        <w:t xml:space="preserve"> </w:t>
      </w:r>
      <w:r w:rsidR="0012532A" w:rsidRPr="0E887DD2">
        <w:rPr>
          <w:color w:val="374151"/>
          <w:sz w:val="24"/>
          <w:szCs w:val="24"/>
        </w:rPr>
        <w:t>a</w:t>
      </w:r>
      <w:r w:rsidR="00F84D47" w:rsidRPr="0E887DD2">
        <w:rPr>
          <w:color w:val="374151"/>
          <w:sz w:val="24"/>
          <w:szCs w:val="24"/>
        </w:rPr>
        <w:t xml:space="preserve">n affirmation </w:t>
      </w:r>
      <w:r w:rsidR="0012532A" w:rsidRPr="0E887DD2">
        <w:rPr>
          <w:color w:val="374151"/>
          <w:sz w:val="24"/>
          <w:szCs w:val="24"/>
        </w:rPr>
        <w:t>with</w:t>
      </w:r>
      <w:r w:rsidR="0081758F" w:rsidRPr="0E887DD2">
        <w:rPr>
          <w:color w:val="374151"/>
          <w:sz w:val="24"/>
          <w:szCs w:val="24"/>
        </w:rPr>
        <w:t>in cl</w:t>
      </w:r>
      <w:r w:rsidR="005912E1" w:rsidRPr="0E887DD2">
        <w:rPr>
          <w:color w:val="374151"/>
          <w:sz w:val="24"/>
          <w:szCs w:val="24"/>
        </w:rPr>
        <w:t>ause</w:t>
      </w:r>
      <w:r w:rsidR="0081758F" w:rsidRPr="0E887DD2">
        <w:rPr>
          <w:color w:val="374151"/>
          <w:sz w:val="24"/>
          <w:szCs w:val="24"/>
        </w:rPr>
        <w:t xml:space="preserve"> 51 </w:t>
      </w:r>
      <w:r w:rsidR="00197264" w:rsidRPr="0E887DD2">
        <w:rPr>
          <w:color w:val="374151"/>
          <w:sz w:val="24"/>
          <w:szCs w:val="24"/>
        </w:rPr>
        <w:t xml:space="preserve">of Australia’s commitment under the </w:t>
      </w:r>
      <w:r w:rsidR="008F1A74" w:rsidRPr="0E887DD2">
        <w:rPr>
          <w:color w:val="374151"/>
          <w:sz w:val="24"/>
          <w:szCs w:val="24"/>
        </w:rPr>
        <w:t>UN</w:t>
      </w:r>
      <w:r w:rsidR="00197264" w:rsidRPr="0E887DD2">
        <w:rPr>
          <w:color w:val="374151"/>
          <w:sz w:val="24"/>
          <w:szCs w:val="24"/>
        </w:rPr>
        <w:t xml:space="preserve">CRPD to a rights-based approach, as well as </w:t>
      </w:r>
      <w:r w:rsidR="00295806" w:rsidRPr="0E887DD2">
        <w:rPr>
          <w:color w:val="374151"/>
          <w:sz w:val="24"/>
          <w:szCs w:val="24"/>
        </w:rPr>
        <w:t xml:space="preserve">by </w:t>
      </w:r>
      <w:r w:rsidR="000008E6" w:rsidRPr="0E887DD2">
        <w:rPr>
          <w:color w:val="374151"/>
          <w:sz w:val="24"/>
          <w:szCs w:val="24"/>
        </w:rPr>
        <w:t xml:space="preserve">expanding </w:t>
      </w:r>
      <w:r w:rsidR="0081758F" w:rsidRPr="0E887DD2">
        <w:rPr>
          <w:color w:val="374151"/>
          <w:sz w:val="24"/>
          <w:szCs w:val="24"/>
        </w:rPr>
        <w:t>the clause</w:t>
      </w:r>
      <w:r w:rsidR="000008E6" w:rsidRPr="0E887DD2">
        <w:rPr>
          <w:color w:val="374151"/>
          <w:sz w:val="24"/>
          <w:szCs w:val="24"/>
        </w:rPr>
        <w:t xml:space="preserve"> to include </w:t>
      </w:r>
      <w:r w:rsidR="00F3476A" w:rsidRPr="0E887DD2">
        <w:rPr>
          <w:color w:val="374151"/>
          <w:sz w:val="24"/>
          <w:szCs w:val="24"/>
        </w:rPr>
        <w:t>person</w:t>
      </w:r>
      <w:r w:rsidR="0081758F" w:rsidRPr="0E887DD2">
        <w:rPr>
          <w:color w:val="374151"/>
          <w:sz w:val="24"/>
          <w:szCs w:val="24"/>
        </w:rPr>
        <w:t>-</w:t>
      </w:r>
      <w:r w:rsidR="00F3476A" w:rsidRPr="0E887DD2">
        <w:rPr>
          <w:color w:val="374151"/>
          <w:sz w:val="24"/>
          <w:szCs w:val="24"/>
        </w:rPr>
        <w:t>centred</w:t>
      </w:r>
      <w:r w:rsidR="0081758F" w:rsidRPr="0E887DD2">
        <w:rPr>
          <w:color w:val="374151"/>
          <w:sz w:val="24"/>
          <w:szCs w:val="24"/>
        </w:rPr>
        <w:t>ness</w:t>
      </w:r>
      <w:r w:rsidR="00F3476A" w:rsidRPr="0E887DD2">
        <w:rPr>
          <w:color w:val="374151"/>
          <w:sz w:val="24"/>
          <w:szCs w:val="24"/>
        </w:rPr>
        <w:t xml:space="preserve">, </w:t>
      </w:r>
      <w:r w:rsidR="00A70BFC" w:rsidRPr="0E887DD2">
        <w:rPr>
          <w:color w:val="374151"/>
          <w:sz w:val="24"/>
          <w:szCs w:val="24"/>
        </w:rPr>
        <w:t>inclusiv</w:t>
      </w:r>
      <w:r w:rsidR="0081758F" w:rsidRPr="0E887DD2">
        <w:rPr>
          <w:color w:val="374151"/>
          <w:sz w:val="24"/>
          <w:szCs w:val="24"/>
        </w:rPr>
        <w:t>ity</w:t>
      </w:r>
      <w:r w:rsidR="00A70BFC" w:rsidRPr="0E887DD2">
        <w:rPr>
          <w:color w:val="374151"/>
          <w:sz w:val="24"/>
          <w:szCs w:val="24"/>
        </w:rPr>
        <w:t xml:space="preserve"> and cultural </w:t>
      </w:r>
      <w:r w:rsidR="0081758F" w:rsidRPr="0E887DD2">
        <w:rPr>
          <w:color w:val="374151"/>
          <w:sz w:val="24"/>
          <w:szCs w:val="24"/>
        </w:rPr>
        <w:t>safe</w:t>
      </w:r>
      <w:r w:rsidR="00EA2B20" w:rsidRPr="0E887DD2">
        <w:rPr>
          <w:color w:val="374151"/>
          <w:sz w:val="24"/>
          <w:szCs w:val="24"/>
        </w:rPr>
        <w:t>ty</w:t>
      </w:r>
      <w:r w:rsidR="00295806" w:rsidRPr="0E887DD2">
        <w:rPr>
          <w:color w:val="374151"/>
          <w:sz w:val="24"/>
          <w:szCs w:val="24"/>
        </w:rPr>
        <w:t xml:space="preserve">. </w:t>
      </w:r>
      <w:r w:rsidR="00CF24A9" w:rsidRPr="0E887DD2">
        <w:rPr>
          <w:color w:val="374151"/>
          <w:sz w:val="24"/>
          <w:szCs w:val="24"/>
        </w:rPr>
        <w:t>DANA</w:t>
      </w:r>
      <w:r w:rsidR="0099493F" w:rsidRPr="0E887DD2">
        <w:rPr>
          <w:color w:val="374151"/>
          <w:sz w:val="24"/>
          <w:szCs w:val="24"/>
        </w:rPr>
        <w:t xml:space="preserve">, in their </w:t>
      </w:r>
      <w:r w:rsidR="00B85DD0" w:rsidRPr="0E887DD2">
        <w:rPr>
          <w:color w:val="374151"/>
          <w:sz w:val="24"/>
          <w:szCs w:val="24"/>
        </w:rPr>
        <w:t>May 12</w:t>
      </w:r>
      <w:r w:rsidR="00B85DD0" w:rsidRPr="0E887DD2">
        <w:rPr>
          <w:color w:val="374151"/>
          <w:sz w:val="24"/>
          <w:szCs w:val="24"/>
          <w:vertAlign w:val="superscript"/>
        </w:rPr>
        <w:t>th</w:t>
      </w:r>
      <w:r w:rsidR="00B85DD0" w:rsidRPr="0E887DD2">
        <w:rPr>
          <w:color w:val="374151"/>
          <w:sz w:val="24"/>
          <w:szCs w:val="24"/>
        </w:rPr>
        <w:t xml:space="preserve"> submission, defined </w:t>
      </w:r>
      <w:r w:rsidR="007869B6" w:rsidRPr="0E887DD2">
        <w:rPr>
          <w:color w:val="374151"/>
          <w:sz w:val="24"/>
          <w:szCs w:val="24"/>
        </w:rPr>
        <w:t>these principles as:</w:t>
      </w:r>
    </w:p>
    <w:p w14:paraId="28B92558" w14:textId="5B3B0A8A" w:rsidR="00EA2B38" w:rsidRPr="003E6EEA" w:rsidRDefault="00AA60B6" w:rsidP="0E887DD2">
      <w:pPr>
        <w:spacing w:line="360" w:lineRule="auto"/>
        <w:rPr>
          <w:b/>
          <w:bCs/>
          <w:sz w:val="24"/>
          <w:szCs w:val="24"/>
        </w:rPr>
      </w:pPr>
      <w:r w:rsidRPr="0E887DD2">
        <w:rPr>
          <w:b/>
          <w:bCs/>
          <w:sz w:val="24"/>
          <w:szCs w:val="24"/>
        </w:rPr>
        <w:t>“</w:t>
      </w:r>
      <w:r w:rsidR="007869B6" w:rsidRPr="0E887DD2">
        <w:rPr>
          <w:b/>
          <w:bCs/>
          <w:sz w:val="24"/>
          <w:szCs w:val="24"/>
        </w:rPr>
        <w:t>Person-centred:</w:t>
      </w:r>
      <w:r w:rsidR="00EA2B38" w:rsidRPr="0E887DD2">
        <w:rPr>
          <w:b/>
          <w:bCs/>
          <w:sz w:val="24"/>
          <w:szCs w:val="24"/>
        </w:rPr>
        <w:t xml:space="preserve"> </w:t>
      </w:r>
    </w:p>
    <w:p w14:paraId="219570CA" w14:textId="77777777" w:rsidR="00AA60B6" w:rsidRPr="003E6EEA" w:rsidRDefault="00EA2B38" w:rsidP="0E887DD2">
      <w:pPr>
        <w:pStyle w:val="ListParagraph"/>
        <w:numPr>
          <w:ilvl w:val="0"/>
          <w:numId w:val="7"/>
        </w:numPr>
        <w:spacing w:line="360" w:lineRule="auto"/>
        <w:rPr>
          <w:sz w:val="24"/>
          <w:szCs w:val="24"/>
        </w:rPr>
      </w:pPr>
      <w:r w:rsidRPr="0E887DD2">
        <w:rPr>
          <w:sz w:val="24"/>
          <w:szCs w:val="24"/>
        </w:rPr>
        <w:t>Dispute resolution system that is premised on co-design principles, with broad and genuine engagement with people with disability about the mechanisms, processes, and settings.</w:t>
      </w:r>
    </w:p>
    <w:p w14:paraId="66983325" w14:textId="77777777" w:rsidR="00AA60B6" w:rsidRPr="003E6EEA" w:rsidRDefault="00EA2B38" w:rsidP="0E887DD2">
      <w:pPr>
        <w:pStyle w:val="ListParagraph"/>
        <w:numPr>
          <w:ilvl w:val="0"/>
          <w:numId w:val="7"/>
        </w:numPr>
        <w:spacing w:line="360" w:lineRule="auto"/>
        <w:rPr>
          <w:sz w:val="24"/>
          <w:szCs w:val="24"/>
        </w:rPr>
      </w:pPr>
      <w:r w:rsidRPr="0E887DD2">
        <w:rPr>
          <w:sz w:val="24"/>
          <w:szCs w:val="24"/>
        </w:rPr>
        <w:t xml:space="preserve">Actively involves applicants and seeks to increase their understanding of review decisions, empowering applicants to be part of their own resolution process. </w:t>
      </w:r>
    </w:p>
    <w:p w14:paraId="3891292F" w14:textId="51068EA0" w:rsidR="00AA60B6" w:rsidRPr="003E6EEA" w:rsidRDefault="00EA2B38" w:rsidP="0E887DD2">
      <w:pPr>
        <w:pStyle w:val="ListParagraph"/>
        <w:numPr>
          <w:ilvl w:val="0"/>
          <w:numId w:val="7"/>
        </w:numPr>
        <w:spacing w:line="360" w:lineRule="auto"/>
        <w:rPr>
          <w:b/>
          <w:bCs/>
          <w:sz w:val="24"/>
          <w:szCs w:val="24"/>
        </w:rPr>
      </w:pPr>
      <w:r w:rsidRPr="0E887DD2">
        <w:rPr>
          <w:sz w:val="24"/>
          <w:szCs w:val="24"/>
        </w:rPr>
        <w:t>For First Nations people, a self-determined process directed by First Nations communities, involving family and the broader kinship networks.</w:t>
      </w:r>
    </w:p>
    <w:p w14:paraId="581AFA1A" w14:textId="39BC2983" w:rsidR="00AA60B6" w:rsidRPr="003E6EEA" w:rsidRDefault="00FB2DAA" w:rsidP="0E887DD2">
      <w:pPr>
        <w:spacing w:line="360" w:lineRule="auto"/>
        <w:rPr>
          <w:b/>
          <w:bCs/>
          <w:sz w:val="24"/>
          <w:szCs w:val="24"/>
        </w:rPr>
      </w:pPr>
      <w:r w:rsidRPr="0E887DD2">
        <w:rPr>
          <w:b/>
          <w:bCs/>
          <w:sz w:val="24"/>
          <w:szCs w:val="24"/>
        </w:rPr>
        <w:t>Inclusive:</w:t>
      </w:r>
    </w:p>
    <w:p w14:paraId="618F41E7" w14:textId="77777777" w:rsidR="008D35E8" w:rsidRPr="003E6EEA" w:rsidRDefault="008D35E8" w:rsidP="0E887DD2">
      <w:pPr>
        <w:spacing w:line="360" w:lineRule="auto"/>
        <w:ind w:left="720"/>
        <w:rPr>
          <w:sz w:val="24"/>
          <w:szCs w:val="24"/>
        </w:rPr>
      </w:pPr>
      <w:r w:rsidRPr="0E887DD2">
        <w:rPr>
          <w:sz w:val="24"/>
          <w:szCs w:val="24"/>
        </w:rPr>
        <w:t xml:space="preserve">• Inclusive of all people with a disability, languages, cultural backgrounds, and geographical location. </w:t>
      </w:r>
    </w:p>
    <w:p w14:paraId="78A57C23" w14:textId="6E19744B" w:rsidR="00FB2DAA" w:rsidRPr="003E6EEA" w:rsidRDefault="008D35E8" w:rsidP="0E887DD2">
      <w:pPr>
        <w:spacing w:line="360" w:lineRule="auto"/>
        <w:ind w:left="720"/>
        <w:rPr>
          <w:sz w:val="24"/>
          <w:szCs w:val="24"/>
        </w:rPr>
      </w:pPr>
      <w:r w:rsidRPr="0E887DD2">
        <w:rPr>
          <w:sz w:val="24"/>
          <w:szCs w:val="24"/>
        </w:rPr>
        <w:t>• Acknowledge intersectionality between disability and other factors including gender, sexuality, cultural diversity, and age.</w:t>
      </w:r>
    </w:p>
    <w:p w14:paraId="00FC7EC0" w14:textId="4E8AFC4F" w:rsidR="00CF24A9" w:rsidRPr="003E6EEA" w:rsidRDefault="00CF2F2B" w:rsidP="0E887DD2">
      <w:pPr>
        <w:spacing w:line="360" w:lineRule="auto"/>
        <w:rPr>
          <w:b/>
          <w:bCs/>
          <w:sz w:val="24"/>
          <w:szCs w:val="24"/>
        </w:rPr>
      </w:pPr>
      <w:r w:rsidRPr="0E887DD2">
        <w:rPr>
          <w:b/>
          <w:bCs/>
          <w:sz w:val="24"/>
          <w:szCs w:val="24"/>
        </w:rPr>
        <w:t>Culturally safe:</w:t>
      </w:r>
    </w:p>
    <w:p w14:paraId="3FF9DD26" w14:textId="77777777" w:rsidR="00EB31D1" w:rsidRPr="003E6EEA" w:rsidRDefault="00EB31D1" w:rsidP="0E887DD2">
      <w:pPr>
        <w:pStyle w:val="ListParagraph"/>
        <w:numPr>
          <w:ilvl w:val="0"/>
          <w:numId w:val="8"/>
        </w:numPr>
        <w:spacing w:line="360" w:lineRule="auto"/>
        <w:rPr>
          <w:sz w:val="24"/>
          <w:szCs w:val="24"/>
        </w:rPr>
      </w:pPr>
      <w:r w:rsidRPr="0E887DD2">
        <w:rPr>
          <w:sz w:val="24"/>
          <w:szCs w:val="24"/>
        </w:rPr>
        <w:t>There must be knowledge and respect for First Nations people and of their communities and cultures.</w:t>
      </w:r>
    </w:p>
    <w:p w14:paraId="4F897561" w14:textId="77777777" w:rsidR="00EB31D1" w:rsidRPr="003E6EEA" w:rsidRDefault="00EB31D1" w:rsidP="0E887DD2">
      <w:pPr>
        <w:pStyle w:val="ListParagraph"/>
        <w:numPr>
          <w:ilvl w:val="0"/>
          <w:numId w:val="8"/>
        </w:numPr>
        <w:spacing w:line="360" w:lineRule="auto"/>
        <w:rPr>
          <w:sz w:val="24"/>
          <w:szCs w:val="24"/>
        </w:rPr>
      </w:pPr>
      <w:r w:rsidRPr="0E887DD2">
        <w:rPr>
          <w:sz w:val="24"/>
          <w:szCs w:val="24"/>
        </w:rPr>
        <w:t xml:space="preserve">Consultation with FPDN and NEDA should take place to ensure the process is culturally safe. </w:t>
      </w:r>
    </w:p>
    <w:p w14:paraId="338F68DB" w14:textId="77777777" w:rsidR="00EB31D1" w:rsidRPr="003E6EEA" w:rsidRDefault="00EB31D1" w:rsidP="0E887DD2">
      <w:pPr>
        <w:pStyle w:val="ListParagraph"/>
        <w:numPr>
          <w:ilvl w:val="0"/>
          <w:numId w:val="8"/>
        </w:numPr>
        <w:spacing w:line="360" w:lineRule="auto"/>
        <w:rPr>
          <w:sz w:val="24"/>
          <w:szCs w:val="24"/>
        </w:rPr>
      </w:pPr>
      <w:r w:rsidRPr="0E887DD2">
        <w:rPr>
          <w:sz w:val="24"/>
          <w:szCs w:val="24"/>
        </w:rPr>
        <w:lastRenderedPageBreak/>
        <w:t xml:space="preserve">Staff and people involved in the dispute resolution process should be trained in cultural safety and cultural competence. </w:t>
      </w:r>
    </w:p>
    <w:p w14:paraId="1648DE5C" w14:textId="2BF69820" w:rsidR="00CF2F2B" w:rsidRPr="003E6EEA" w:rsidRDefault="00EB31D1" w:rsidP="0E887DD2">
      <w:pPr>
        <w:pStyle w:val="ListParagraph"/>
        <w:numPr>
          <w:ilvl w:val="0"/>
          <w:numId w:val="8"/>
        </w:numPr>
        <w:spacing w:line="360" w:lineRule="auto"/>
        <w:rPr>
          <w:sz w:val="24"/>
          <w:szCs w:val="24"/>
        </w:rPr>
      </w:pPr>
      <w:r w:rsidRPr="003E6EEA">
        <w:rPr>
          <w:sz w:val="24"/>
          <w:szCs w:val="24"/>
        </w:rPr>
        <w:t>Services offered should be culturally safe, e.g., phone line for people to call to obtain information about the review process</w:t>
      </w:r>
      <w:r>
        <w:rPr>
          <w:sz w:val="24"/>
          <w:szCs w:val="24"/>
        </w:rPr>
        <w:t>.</w:t>
      </w:r>
      <w:r w:rsidRPr="003E6EEA">
        <w:rPr>
          <w:sz w:val="24"/>
          <w:szCs w:val="24"/>
        </w:rPr>
        <w:t>”</w:t>
      </w:r>
      <w:r w:rsidR="002E2E0F">
        <w:rPr>
          <w:rStyle w:val="FootnoteReference"/>
          <w:sz w:val="24"/>
          <w:szCs w:val="24"/>
        </w:rPr>
        <w:footnoteReference w:id="4"/>
      </w:r>
    </w:p>
    <w:p w14:paraId="03348562" w14:textId="7A3C93BC" w:rsidR="00C831A9" w:rsidRPr="005329D9" w:rsidRDefault="00DD3295" w:rsidP="0E887DD2">
      <w:pPr>
        <w:spacing w:line="360" w:lineRule="auto"/>
        <w:rPr>
          <w:color w:val="000000" w:themeColor="text1"/>
          <w:sz w:val="24"/>
          <w:szCs w:val="24"/>
        </w:rPr>
      </w:pPr>
      <w:r w:rsidRPr="0E887DD2">
        <w:rPr>
          <w:color w:val="000000" w:themeColor="text1"/>
          <w:sz w:val="24"/>
          <w:szCs w:val="24"/>
        </w:rPr>
        <w:t xml:space="preserve">By providing such tangible and explicit guidance, </w:t>
      </w:r>
      <w:r w:rsidR="00AE6044" w:rsidRPr="0E887DD2">
        <w:rPr>
          <w:color w:val="000000" w:themeColor="text1"/>
          <w:sz w:val="24"/>
          <w:szCs w:val="24"/>
        </w:rPr>
        <w:t>the risk of unduly narrow conceptions of accessibility being adopted are reduced</w:t>
      </w:r>
      <w:r w:rsidR="003F342E" w:rsidRPr="0E887DD2">
        <w:rPr>
          <w:color w:val="000000" w:themeColor="text1"/>
          <w:sz w:val="24"/>
          <w:szCs w:val="24"/>
        </w:rPr>
        <w:t xml:space="preserve">. </w:t>
      </w:r>
    </w:p>
    <w:p w14:paraId="4FDC5D19" w14:textId="2A9C07B4" w:rsidR="00B5703B" w:rsidRPr="00146C13" w:rsidRDefault="00B5703B" w:rsidP="0E887DD2">
      <w:pPr>
        <w:pStyle w:val="paragraph"/>
        <w:spacing w:before="0" w:beforeAutospacing="0" w:after="0" w:afterAutospacing="0" w:line="360" w:lineRule="auto"/>
        <w:textAlignment w:val="baseline"/>
        <w:rPr>
          <w:rFonts w:asciiTheme="minorHAnsi" w:hAnsiTheme="minorHAnsi" w:cstheme="minorBidi"/>
        </w:rPr>
      </w:pPr>
      <w:r w:rsidRPr="0E887DD2">
        <w:rPr>
          <w:rStyle w:val="normaltextrun"/>
          <w:rFonts w:asciiTheme="minorHAnsi" w:hAnsiTheme="minorHAnsi" w:cstheme="minorBidi"/>
          <w:b/>
          <w:bCs/>
          <w:color w:val="522E91"/>
        </w:rPr>
        <w:t>Recommendation 1:</w:t>
      </w:r>
      <w:r w:rsidRPr="0E887DD2">
        <w:rPr>
          <w:rStyle w:val="normaltextrun"/>
          <w:rFonts w:asciiTheme="minorHAnsi" w:hAnsiTheme="minorHAnsi" w:cstheme="minorBidi"/>
          <w:b/>
          <w:bCs/>
          <w:color w:val="7030A0"/>
        </w:rPr>
        <w:t> </w:t>
      </w:r>
      <w:r w:rsidRPr="0E887DD2">
        <w:rPr>
          <w:rStyle w:val="normaltextrun"/>
          <w:rFonts w:asciiTheme="minorHAnsi" w:hAnsiTheme="minorHAnsi" w:cstheme="minorBidi"/>
          <w:b/>
          <w:bCs/>
        </w:rPr>
        <w:t xml:space="preserve">The Committee </w:t>
      </w:r>
      <w:r w:rsidR="00EE123E" w:rsidRPr="0E887DD2">
        <w:rPr>
          <w:rStyle w:val="normaltextrun"/>
          <w:rFonts w:asciiTheme="minorHAnsi" w:hAnsiTheme="minorHAnsi" w:cstheme="minorBidi"/>
          <w:b/>
          <w:bCs/>
        </w:rPr>
        <w:t xml:space="preserve">should </w:t>
      </w:r>
      <w:r w:rsidR="001166C0" w:rsidRPr="0E887DD2">
        <w:rPr>
          <w:rStyle w:val="normaltextrun"/>
          <w:rFonts w:asciiTheme="minorHAnsi" w:hAnsiTheme="minorHAnsi" w:cstheme="minorBidi"/>
          <w:b/>
          <w:bCs/>
        </w:rPr>
        <w:t xml:space="preserve">recommend </w:t>
      </w:r>
      <w:r w:rsidR="00F5682F" w:rsidRPr="0E887DD2">
        <w:rPr>
          <w:rStyle w:val="normaltextrun"/>
          <w:rFonts w:asciiTheme="minorHAnsi" w:hAnsiTheme="minorHAnsi" w:cstheme="minorBidi"/>
          <w:b/>
          <w:bCs/>
        </w:rPr>
        <w:t xml:space="preserve">Division 5 part 4 of </w:t>
      </w:r>
      <w:r w:rsidR="001166C0" w:rsidRPr="0E887DD2">
        <w:rPr>
          <w:rStyle w:val="normaltextrun"/>
          <w:rFonts w:asciiTheme="minorHAnsi" w:hAnsiTheme="minorHAnsi" w:cstheme="minorBidi"/>
          <w:b/>
          <w:bCs/>
        </w:rPr>
        <w:t xml:space="preserve">the Administrative Review Tribunal Bill 2023 be </w:t>
      </w:r>
      <w:r w:rsidR="00F5682F" w:rsidRPr="0E887DD2">
        <w:rPr>
          <w:rStyle w:val="normaltextrun"/>
          <w:rFonts w:asciiTheme="minorHAnsi" w:hAnsiTheme="minorHAnsi" w:cstheme="minorBidi"/>
          <w:b/>
          <w:bCs/>
        </w:rPr>
        <w:t xml:space="preserve">amended to </w:t>
      </w:r>
      <w:r w:rsidR="004133F2" w:rsidRPr="0E887DD2">
        <w:rPr>
          <w:rStyle w:val="normaltextrun"/>
          <w:rFonts w:asciiTheme="minorHAnsi" w:hAnsiTheme="minorHAnsi" w:cstheme="minorBidi"/>
          <w:b/>
          <w:bCs/>
        </w:rPr>
        <w:t xml:space="preserve">include </w:t>
      </w:r>
      <w:r w:rsidR="00E83F26" w:rsidRPr="0E887DD2">
        <w:rPr>
          <w:rStyle w:val="normaltextrun"/>
          <w:rFonts w:asciiTheme="minorHAnsi" w:hAnsiTheme="minorHAnsi" w:cstheme="minorBidi"/>
          <w:b/>
          <w:bCs/>
        </w:rPr>
        <w:t xml:space="preserve">additional principles: rights-based, </w:t>
      </w:r>
      <w:r w:rsidR="00933580" w:rsidRPr="0E887DD2">
        <w:rPr>
          <w:rStyle w:val="normaltextrun"/>
          <w:rFonts w:asciiTheme="minorHAnsi" w:hAnsiTheme="minorHAnsi" w:cstheme="minorBidi"/>
          <w:b/>
          <w:bCs/>
        </w:rPr>
        <w:t>person centredness</w:t>
      </w:r>
      <w:r w:rsidR="004A02E1" w:rsidRPr="0E887DD2">
        <w:rPr>
          <w:rStyle w:val="normaltextrun"/>
          <w:rFonts w:asciiTheme="minorHAnsi" w:hAnsiTheme="minorHAnsi" w:cstheme="minorBidi"/>
          <w:b/>
          <w:bCs/>
        </w:rPr>
        <w:t>, inclusivity and cultural safety. The</w:t>
      </w:r>
      <w:r w:rsidR="00311DD6" w:rsidRPr="0E887DD2">
        <w:rPr>
          <w:rStyle w:val="normaltextrun"/>
          <w:rFonts w:asciiTheme="minorHAnsi" w:hAnsiTheme="minorHAnsi" w:cstheme="minorBidi"/>
          <w:b/>
          <w:bCs/>
        </w:rPr>
        <w:t xml:space="preserve"> definitions of these</w:t>
      </w:r>
      <w:r w:rsidR="004A02E1" w:rsidRPr="0E887DD2">
        <w:rPr>
          <w:rStyle w:val="normaltextrun"/>
          <w:rFonts w:asciiTheme="minorHAnsi" w:hAnsiTheme="minorHAnsi" w:cstheme="minorBidi"/>
          <w:b/>
          <w:bCs/>
        </w:rPr>
        <w:t xml:space="preserve"> principles should be</w:t>
      </w:r>
      <w:r w:rsidR="00616280" w:rsidRPr="0E887DD2">
        <w:rPr>
          <w:rStyle w:val="normaltextrun"/>
          <w:rFonts w:asciiTheme="minorHAnsi" w:hAnsiTheme="minorHAnsi" w:cstheme="minorBidi"/>
          <w:b/>
          <w:bCs/>
        </w:rPr>
        <w:t xml:space="preserve"> drawn from </w:t>
      </w:r>
      <w:r w:rsidR="00BA3F53" w:rsidRPr="0E887DD2">
        <w:rPr>
          <w:rStyle w:val="normaltextrun"/>
          <w:rFonts w:asciiTheme="minorHAnsi" w:hAnsiTheme="minorHAnsi" w:cstheme="minorBidi"/>
          <w:b/>
          <w:bCs/>
        </w:rPr>
        <w:t>previous</w:t>
      </w:r>
      <w:r w:rsidR="00804FC7" w:rsidRPr="0E887DD2">
        <w:rPr>
          <w:rStyle w:val="normaltextrun"/>
          <w:rFonts w:asciiTheme="minorHAnsi" w:hAnsiTheme="minorHAnsi" w:cstheme="minorBidi"/>
          <w:b/>
          <w:bCs/>
        </w:rPr>
        <w:t xml:space="preserve"> </w:t>
      </w:r>
      <w:r w:rsidR="001F1036" w:rsidRPr="0E887DD2">
        <w:rPr>
          <w:rStyle w:val="normaltextrun"/>
          <w:rFonts w:asciiTheme="minorHAnsi" w:hAnsiTheme="minorHAnsi" w:cstheme="minorBidi"/>
          <w:b/>
          <w:bCs/>
        </w:rPr>
        <w:t>Public Interest Advocacy Centre</w:t>
      </w:r>
      <w:r w:rsidR="00BA3F53" w:rsidRPr="0E887DD2">
        <w:rPr>
          <w:rStyle w:val="normaltextrun"/>
          <w:rFonts w:asciiTheme="minorHAnsi" w:hAnsiTheme="minorHAnsi" w:cstheme="minorBidi"/>
          <w:b/>
          <w:bCs/>
        </w:rPr>
        <w:t xml:space="preserve"> submissions</w:t>
      </w:r>
      <w:r w:rsidR="001F1036" w:rsidRPr="0E887DD2">
        <w:rPr>
          <w:rStyle w:val="normaltextrun"/>
          <w:rFonts w:asciiTheme="minorHAnsi" w:hAnsiTheme="minorHAnsi" w:cstheme="minorBidi"/>
          <w:b/>
          <w:bCs/>
        </w:rPr>
        <w:t xml:space="preserve">. </w:t>
      </w:r>
      <w:r w:rsidR="00616280" w:rsidRPr="0E887DD2">
        <w:rPr>
          <w:rStyle w:val="normaltextrun"/>
          <w:rFonts w:asciiTheme="minorHAnsi" w:hAnsiTheme="minorHAnsi" w:cstheme="minorBidi"/>
          <w:b/>
          <w:bCs/>
        </w:rPr>
        <w:t xml:space="preserve"> </w:t>
      </w:r>
      <w:r w:rsidR="004A02E1" w:rsidRPr="0E887DD2">
        <w:rPr>
          <w:rStyle w:val="normaltextrun"/>
          <w:rFonts w:asciiTheme="minorHAnsi" w:hAnsiTheme="minorHAnsi" w:cstheme="minorBidi"/>
          <w:b/>
          <w:bCs/>
        </w:rPr>
        <w:t xml:space="preserve"> </w:t>
      </w:r>
    </w:p>
    <w:p w14:paraId="3C8A6B22" w14:textId="77777777" w:rsidR="00DA1EAA" w:rsidRPr="00146C13" w:rsidRDefault="00DA1EAA" w:rsidP="0E887DD2">
      <w:pPr>
        <w:spacing w:line="360" w:lineRule="auto"/>
        <w:rPr>
          <w:rStyle w:val="eop"/>
          <w:color w:val="374151"/>
          <w:sz w:val="24"/>
          <w:szCs w:val="24"/>
        </w:rPr>
      </w:pPr>
    </w:p>
    <w:p w14:paraId="43E2D646" w14:textId="5ADB4F7C" w:rsidR="0067254A" w:rsidRPr="00146C13" w:rsidRDefault="0067254A" w:rsidP="0E887DD2">
      <w:pPr>
        <w:spacing w:line="360" w:lineRule="auto"/>
        <w:rPr>
          <w:rStyle w:val="normaltextrun"/>
          <w:b/>
          <w:bCs/>
          <w:color w:val="522E91"/>
          <w:sz w:val="24"/>
          <w:szCs w:val="24"/>
          <w:shd w:val="clear" w:color="auto" w:fill="FFFFFF"/>
        </w:rPr>
      </w:pPr>
    </w:p>
    <w:p w14:paraId="4FD51324" w14:textId="77777777" w:rsidR="0073565B" w:rsidRPr="00146C13" w:rsidRDefault="0073565B" w:rsidP="0E887DD2">
      <w:pPr>
        <w:spacing w:line="360" w:lineRule="auto"/>
        <w:rPr>
          <w:rStyle w:val="eop"/>
          <w:b/>
          <w:bCs/>
          <w:color w:val="522E91"/>
          <w:sz w:val="24"/>
          <w:szCs w:val="24"/>
          <w:shd w:val="clear" w:color="auto" w:fill="FFFFFF"/>
        </w:rPr>
      </w:pPr>
    </w:p>
    <w:p w14:paraId="30348519" w14:textId="77777777" w:rsidR="00E5637C" w:rsidRPr="00146C13" w:rsidRDefault="00E5637C" w:rsidP="0E887DD2">
      <w:pPr>
        <w:spacing w:line="360" w:lineRule="auto"/>
        <w:rPr>
          <w:rStyle w:val="eop"/>
          <w:b/>
          <w:bCs/>
          <w:color w:val="522E91"/>
          <w:sz w:val="24"/>
          <w:szCs w:val="24"/>
          <w:shd w:val="clear" w:color="auto" w:fill="FFFFFF"/>
        </w:rPr>
      </w:pPr>
    </w:p>
    <w:p w14:paraId="3D3B4230" w14:textId="77777777" w:rsidR="00E5637C" w:rsidRPr="00146C13" w:rsidRDefault="00E5637C" w:rsidP="0E887DD2">
      <w:pPr>
        <w:spacing w:line="360" w:lineRule="auto"/>
        <w:rPr>
          <w:rStyle w:val="eop"/>
          <w:b/>
          <w:bCs/>
          <w:color w:val="522E91"/>
          <w:sz w:val="24"/>
          <w:szCs w:val="24"/>
          <w:shd w:val="clear" w:color="auto" w:fill="FFFFFF"/>
        </w:rPr>
      </w:pPr>
    </w:p>
    <w:p w14:paraId="72C9EFEE" w14:textId="77777777" w:rsidR="00B37BCF" w:rsidRPr="00146C13" w:rsidRDefault="00B37BCF" w:rsidP="0E887DD2">
      <w:pPr>
        <w:spacing w:line="360" w:lineRule="auto"/>
        <w:rPr>
          <w:rStyle w:val="eop"/>
          <w:b/>
          <w:bCs/>
          <w:color w:val="522E91"/>
          <w:sz w:val="24"/>
          <w:szCs w:val="24"/>
          <w:shd w:val="clear" w:color="auto" w:fill="FFFFFF"/>
        </w:rPr>
      </w:pPr>
    </w:p>
    <w:p w14:paraId="2CF7CA66" w14:textId="77777777" w:rsidR="00A66F69" w:rsidRPr="00146C13" w:rsidRDefault="00A66F69" w:rsidP="0E887DD2">
      <w:pPr>
        <w:spacing w:line="360" w:lineRule="auto"/>
        <w:rPr>
          <w:rStyle w:val="eop"/>
          <w:b/>
          <w:bCs/>
          <w:color w:val="522E91"/>
          <w:sz w:val="24"/>
          <w:szCs w:val="24"/>
          <w:shd w:val="clear" w:color="auto" w:fill="FFFFFF"/>
        </w:rPr>
      </w:pPr>
    </w:p>
    <w:p w14:paraId="112F6FE6" w14:textId="77777777" w:rsidR="00A66F69" w:rsidRDefault="00A66F69" w:rsidP="0E887DD2">
      <w:pPr>
        <w:spacing w:line="360" w:lineRule="auto"/>
        <w:rPr>
          <w:rStyle w:val="eop"/>
          <w:b/>
          <w:bCs/>
          <w:color w:val="522E91"/>
          <w:sz w:val="24"/>
          <w:szCs w:val="24"/>
          <w:shd w:val="clear" w:color="auto" w:fill="FFFFFF"/>
        </w:rPr>
      </w:pPr>
    </w:p>
    <w:p w14:paraId="5B0D21A4" w14:textId="77777777" w:rsidR="002E2E0F" w:rsidRDefault="002E2E0F" w:rsidP="0E887DD2">
      <w:pPr>
        <w:spacing w:line="360" w:lineRule="auto"/>
        <w:rPr>
          <w:rStyle w:val="eop"/>
          <w:b/>
          <w:bCs/>
          <w:color w:val="522E91"/>
          <w:sz w:val="24"/>
          <w:szCs w:val="24"/>
          <w:shd w:val="clear" w:color="auto" w:fill="FFFFFF"/>
        </w:rPr>
      </w:pPr>
    </w:p>
    <w:p w14:paraId="4A453445" w14:textId="77777777" w:rsidR="002E2E0F" w:rsidRDefault="002E2E0F" w:rsidP="0E887DD2">
      <w:pPr>
        <w:spacing w:line="360" w:lineRule="auto"/>
        <w:rPr>
          <w:rStyle w:val="eop"/>
          <w:b/>
          <w:bCs/>
          <w:color w:val="522E91"/>
          <w:sz w:val="24"/>
          <w:szCs w:val="24"/>
          <w:shd w:val="clear" w:color="auto" w:fill="FFFFFF"/>
        </w:rPr>
      </w:pPr>
    </w:p>
    <w:p w14:paraId="14A5C785" w14:textId="77777777" w:rsidR="002E2E0F" w:rsidRDefault="002E2E0F" w:rsidP="0E887DD2">
      <w:pPr>
        <w:spacing w:line="360" w:lineRule="auto"/>
        <w:rPr>
          <w:rStyle w:val="eop"/>
          <w:b/>
          <w:bCs/>
          <w:color w:val="522E91"/>
          <w:sz w:val="24"/>
          <w:szCs w:val="24"/>
          <w:shd w:val="clear" w:color="auto" w:fill="FFFFFF"/>
        </w:rPr>
      </w:pPr>
    </w:p>
    <w:p w14:paraId="65DB351B" w14:textId="77777777" w:rsidR="002E2E0F" w:rsidRDefault="002E2E0F" w:rsidP="0E887DD2">
      <w:pPr>
        <w:spacing w:line="360" w:lineRule="auto"/>
        <w:rPr>
          <w:rStyle w:val="eop"/>
          <w:b/>
          <w:bCs/>
          <w:color w:val="522E91"/>
          <w:sz w:val="24"/>
          <w:szCs w:val="24"/>
          <w:shd w:val="clear" w:color="auto" w:fill="FFFFFF"/>
        </w:rPr>
      </w:pPr>
    </w:p>
    <w:p w14:paraId="665352EE" w14:textId="34451F49" w:rsidR="0E887DD2" w:rsidRDefault="0E887DD2" w:rsidP="0E887DD2">
      <w:pPr>
        <w:spacing w:line="360" w:lineRule="auto"/>
        <w:rPr>
          <w:rStyle w:val="eop"/>
          <w:b/>
          <w:bCs/>
          <w:color w:val="522E91"/>
          <w:sz w:val="24"/>
          <w:szCs w:val="24"/>
        </w:rPr>
      </w:pPr>
    </w:p>
    <w:p w14:paraId="023FB566" w14:textId="77777777" w:rsidR="00BC4AFF" w:rsidRDefault="00BC4AFF" w:rsidP="0E887DD2">
      <w:pPr>
        <w:spacing w:line="360" w:lineRule="auto"/>
        <w:rPr>
          <w:rStyle w:val="eop"/>
          <w:b/>
          <w:bCs/>
          <w:color w:val="522E91"/>
          <w:sz w:val="24"/>
          <w:szCs w:val="24"/>
          <w:shd w:val="clear" w:color="auto" w:fill="FFFFFF"/>
        </w:rPr>
      </w:pPr>
    </w:p>
    <w:p w14:paraId="78DACF90" w14:textId="77777777" w:rsidR="00FC43E0" w:rsidRDefault="00FC43E0" w:rsidP="0E887DD2">
      <w:pPr>
        <w:spacing w:line="360" w:lineRule="auto"/>
        <w:rPr>
          <w:rStyle w:val="eop"/>
          <w:b/>
          <w:bCs/>
          <w:color w:val="522E91"/>
          <w:sz w:val="24"/>
          <w:szCs w:val="24"/>
          <w:shd w:val="clear" w:color="auto" w:fill="FFFFFF"/>
        </w:rPr>
      </w:pPr>
    </w:p>
    <w:p w14:paraId="51ED495C" w14:textId="77777777" w:rsidR="00162FF8" w:rsidRDefault="00162FF8" w:rsidP="0E887DD2">
      <w:pPr>
        <w:spacing w:line="360" w:lineRule="auto"/>
        <w:rPr>
          <w:rStyle w:val="eop"/>
          <w:b/>
          <w:bCs/>
          <w:color w:val="522E91"/>
          <w:sz w:val="24"/>
          <w:szCs w:val="24"/>
          <w:shd w:val="clear" w:color="auto" w:fill="FFFFFF"/>
        </w:rPr>
      </w:pPr>
    </w:p>
    <w:p w14:paraId="5FB7E990" w14:textId="77777777" w:rsidR="00162FF8" w:rsidRDefault="00162FF8" w:rsidP="0E887DD2">
      <w:pPr>
        <w:spacing w:line="360" w:lineRule="auto"/>
        <w:rPr>
          <w:rStyle w:val="eop"/>
          <w:b/>
          <w:bCs/>
          <w:color w:val="522E91"/>
          <w:sz w:val="24"/>
          <w:szCs w:val="24"/>
          <w:shd w:val="clear" w:color="auto" w:fill="FFFFFF"/>
        </w:rPr>
      </w:pPr>
    </w:p>
    <w:p w14:paraId="047CE207" w14:textId="77777777" w:rsidR="00162FF8" w:rsidRPr="00146C13" w:rsidRDefault="00162FF8" w:rsidP="0E887DD2">
      <w:pPr>
        <w:spacing w:line="360" w:lineRule="auto"/>
        <w:rPr>
          <w:rStyle w:val="eop"/>
          <w:b/>
          <w:bCs/>
          <w:color w:val="522E91"/>
          <w:sz w:val="24"/>
          <w:szCs w:val="24"/>
          <w:shd w:val="clear" w:color="auto" w:fill="FFFFFF"/>
        </w:rPr>
      </w:pPr>
    </w:p>
    <w:p w14:paraId="17A1FE81" w14:textId="348BCE82" w:rsidR="00BA3928" w:rsidRPr="00162FF8" w:rsidRDefault="00FC43E0" w:rsidP="2C561418">
      <w:pPr>
        <w:pStyle w:val="Heading1"/>
        <w:keepNext w:val="0"/>
        <w:keepLines w:val="0"/>
        <w:spacing w:line="360" w:lineRule="auto"/>
        <w:rPr>
          <w:rStyle w:val="normaltextrun"/>
          <w:rFonts w:cstheme="minorBidi"/>
          <w:color w:val="522E91"/>
          <w:sz w:val="28"/>
          <w:szCs w:val="28"/>
          <w:shd w:val="clear" w:color="auto" w:fill="FFFFFF"/>
        </w:rPr>
      </w:pPr>
      <w:bookmarkStart w:id="3" w:name="_Toc156546017"/>
      <w:r w:rsidRPr="00162FF8">
        <w:rPr>
          <w:rStyle w:val="normaltextrun"/>
          <w:rFonts w:cstheme="minorBidi"/>
          <w:color w:val="522E91"/>
          <w:sz w:val="28"/>
          <w:szCs w:val="28"/>
          <w:shd w:val="clear" w:color="auto" w:fill="FFFFFF"/>
        </w:rPr>
        <w:t xml:space="preserve">4. </w:t>
      </w:r>
      <w:r w:rsidR="00BA3928" w:rsidRPr="00162FF8">
        <w:rPr>
          <w:rStyle w:val="normaltextrun"/>
          <w:rFonts w:cstheme="minorBidi"/>
          <w:color w:val="522E91"/>
          <w:sz w:val="28"/>
          <w:szCs w:val="28"/>
          <w:shd w:val="clear" w:color="auto" w:fill="FFFFFF"/>
        </w:rPr>
        <w:t>Co-Desig</w:t>
      </w:r>
      <w:r w:rsidR="00CE3F2B" w:rsidRPr="00162FF8">
        <w:rPr>
          <w:rStyle w:val="normaltextrun"/>
          <w:rFonts w:cstheme="minorBidi"/>
          <w:color w:val="522E91"/>
          <w:sz w:val="28"/>
          <w:szCs w:val="28"/>
          <w:shd w:val="clear" w:color="auto" w:fill="FFFFFF"/>
        </w:rPr>
        <w:t>n</w:t>
      </w:r>
      <w:bookmarkEnd w:id="3"/>
    </w:p>
    <w:p w14:paraId="1B540455" w14:textId="5A7017CE" w:rsidR="00F63703" w:rsidRPr="003E6EEA" w:rsidRDefault="000E437B" w:rsidP="0E887DD2">
      <w:pPr>
        <w:pStyle w:val="Heading2"/>
        <w:keepNext w:val="0"/>
        <w:keepLines w:val="0"/>
        <w:spacing w:line="360" w:lineRule="auto"/>
        <w:rPr>
          <w:color w:val="7030A0"/>
        </w:rPr>
      </w:pPr>
      <w:bookmarkStart w:id="4" w:name="_Toc156546018"/>
      <w:r>
        <w:rPr>
          <w:color w:val="7030A0"/>
        </w:rPr>
        <w:t xml:space="preserve">4.1 </w:t>
      </w:r>
      <w:r w:rsidR="00F63703" w:rsidRPr="2C561418">
        <w:rPr>
          <w:color w:val="7030A0"/>
        </w:rPr>
        <w:t>Importance of Co-Design</w:t>
      </w:r>
      <w:bookmarkEnd w:id="4"/>
    </w:p>
    <w:p w14:paraId="44A457CE" w14:textId="5F03D782" w:rsidR="005317A6" w:rsidRDefault="005317A6" w:rsidP="0E887DD2">
      <w:pPr>
        <w:pStyle w:val="Default"/>
        <w:spacing w:line="360" w:lineRule="auto"/>
        <w:rPr>
          <w:rFonts w:asciiTheme="minorHAnsi" w:hAnsiTheme="minorHAnsi" w:cstheme="minorBidi"/>
        </w:rPr>
      </w:pPr>
    </w:p>
    <w:p w14:paraId="1C857931" w14:textId="79E37700" w:rsidR="005317A6" w:rsidRDefault="004310BA" w:rsidP="2C561418">
      <w:pPr>
        <w:pStyle w:val="Default"/>
        <w:spacing w:line="360" w:lineRule="auto"/>
        <w:rPr>
          <w:rFonts w:asciiTheme="minorHAnsi" w:hAnsiTheme="minorHAnsi" w:cstheme="minorBidi"/>
        </w:rPr>
      </w:pPr>
      <w:r w:rsidRPr="2C561418">
        <w:rPr>
          <w:rFonts w:asciiTheme="minorHAnsi" w:hAnsiTheme="minorHAnsi" w:cstheme="minorBidi"/>
        </w:rPr>
        <w:t xml:space="preserve">The functions of the </w:t>
      </w:r>
      <w:r w:rsidR="00173A31" w:rsidRPr="2C561418">
        <w:rPr>
          <w:rFonts w:asciiTheme="minorHAnsi" w:hAnsiTheme="minorHAnsi" w:cstheme="minorBidi"/>
        </w:rPr>
        <w:t>P</w:t>
      </w:r>
      <w:r w:rsidRPr="2C561418">
        <w:rPr>
          <w:rFonts w:asciiTheme="minorHAnsi" w:hAnsiTheme="minorHAnsi" w:cstheme="minorBidi"/>
        </w:rPr>
        <w:t xml:space="preserve">resident of the </w:t>
      </w:r>
      <w:r w:rsidR="00173A31" w:rsidRPr="2C561418">
        <w:rPr>
          <w:rFonts w:asciiTheme="minorHAnsi" w:hAnsiTheme="minorHAnsi" w:cstheme="minorBidi"/>
        </w:rPr>
        <w:t>T</w:t>
      </w:r>
      <w:r w:rsidRPr="2C561418">
        <w:rPr>
          <w:rFonts w:asciiTheme="minorHAnsi" w:hAnsiTheme="minorHAnsi" w:cstheme="minorBidi"/>
        </w:rPr>
        <w:t xml:space="preserve">ribunal outlined in </w:t>
      </w:r>
      <w:r w:rsidR="00E05976" w:rsidRPr="2C561418">
        <w:rPr>
          <w:rFonts w:asciiTheme="minorHAnsi" w:hAnsiTheme="minorHAnsi" w:cstheme="minorBidi"/>
        </w:rPr>
        <w:t>c</w:t>
      </w:r>
      <w:r w:rsidRPr="2C561418">
        <w:rPr>
          <w:rFonts w:asciiTheme="minorHAnsi" w:hAnsiTheme="minorHAnsi" w:cstheme="minorBidi"/>
        </w:rPr>
        <w:t>lause 193 of the Bill concerning</w:t>
      </w:r>
      <w:r w:rsidR="73528963" w:rsidRPr="2C561418">
        <w:rPr>
          <w:rFonts w:asciiTheme="minorHAnsi" w:hAnsiTheme="minorHAnsi" w:cstheme="minorBidi"/>
        </w:rPr>
        <w:t xml:space="preserve"> </w:t>
      </w:r>
      <w:r w:rsidRPr="2C561418">
        <w:rPr>
          <w:rFonts w:asciiTheme="minorHAnsi" w:hAnsiTheme="minorHAnsi" w:cstheme="minorBidi"/>
        </w:rPr>
        <w:t xml:space="preserve">engagement with civil society should be </w:t>
      </w:r>
      <w:r w:rsidR="00173A31" w:rsidRPr="2C561418">
        <w:rPr>
          <w:rFonts w:asciiTheme="minorHAnsi" w:hAnsiTheme="minorHAnsi" w:cstheme="minorBidi"/>
        </w:rPr>
        <w:t>amended to</w:t>
      </w:r>
      <w:r w:rsidRPr="2C561418">
        <w:rPr>
          <w:rFonts w:asciiTheme="minorHAnsi" w:hAnsiTheme="minorHAnsi" w:cstheme="minorBidi"/>
        </w:rPr>
        <w:t xml:space="preserve"> explicitly incorporat</w:t>
      </w:r>
      <w:r w:rsidR="00173A31" w:rsidRPr="2C561418">
        <w:rPr>
          <w:rFonts w:asciiTheme="minorHAnsi" w:hAnsiTheme="minorHAnsi" w:cstheme="minorBidi"/>
        </w:rPr>
        <w:t>e</w:t>
      </w:r>
      <w:r w:rsidRPr="2C561418">
        <w:rPr>
          <w:rFonts w:asciiTheme="minorHAnsi" w:hAnsiTheme="minorHAnsi" w:cstheme="minorBidi"/>
        </w:rPr>
        <w:t xml:space="preserve"> "co-design" as a pivotal element. </w:t>
      </w:r>
      <w:r w:rsidR="001E4F0A" w:rsidRPr="2C561418">
        <w:rPr>
          <w:rFonts w:asciiTheme="minorHAnsi" w:hAnsiTheme="minorHAnsi" w:cstheme="minorBidi"/>
        </w:rPr>
        <w:t xml:space="preserve">Co-design is an inclusive, collaborative process whereby a diverse range of people with relevant skills, experience or interests come together to provide advice and make decisions on a project, policy, </w:t>
      </w:r>
      <w:proofErr w:type="gramStart"/>
      <w:r w:rsidR="001E4F0A" w:rsidRPr="2C561418">
        <w:rPr>
          <w:rFonts w:asciiTheme="minorHAnsi" w:hAnsiTheme="minorHAnsi" w:cstheme="minorBidi"/>
        </w:rPr>
        <w:t>program</w:t>
      </w:r>
      <w:proofErr w:type="gramEnd"/>
      <w:r w:rsidR="001E4F0A" w:rsidRPr="2C561418">
        <w:rPr>
          <w:rFonts w:asciiTheme="minorHAnsi" w:hAnsiTheme="minorHAnsi" w:cstheme="minorBidi"/>
        </w:rPr>
        <w:t xml:space="preserve"> or initiative. </w:t>
      </w:r>
      <w:r w:rsidR="00E55F54" w:rsidRPr="2C561418">
        <w:rPr>
          <w:rFonts w:asciiTheme="minorHAnsi" w:hAnsiTheme="minorHAnsi" w:cstheme="minorBidi"/>
        </w:rPr>
        <w:t xml:space="preserve">By </w:t>
      </w:r>
      <w:r w:rsidR="00DE1230" w:rsidRPr="2C561418">
        <w:rPr>
          <w:rFonts w:asciiTheme="minorHAnsi" w:hAnsiTheme="minorHAnsi" w:cstheme="minorBidi"/>
        </w:rPr>
        <w:t>enshrining</w:t>
      </w:r>
      <w:r w:rsidR="00E55F54" w:rsidRPr="2C561418">
        <w:rPr>
          <w:rFonts w:asciiTheme="minorHAnsi" w:hAnsiTheme="minorHAnsi" w:cstheme="minorBidi"/>
        </w:rPr>
        <w:t xml:space="preserve"> co-design </w:t>
      </w:r>
      <w:r w:rsidR="00A36368" w:rsidRPr="2C561418">
        <w:rPr>
          <w:rFonts w:asciiTheme="minorHAnsi" w:hAnsiTheme="minorHAnsi" w:cstheme="minorBidi"/>
        </w:rPr>
        <w:t>into their functions</w:t>
      </w:r>
      <w:r w:rsidR="00D50A9C" w:rsidRPr="2C561418">
        <w:rPr>
          <w:rFonts w:asciiTheme="minorHAnsi" w:hAnsiTheme="minorHAnsi" w:cstheme="minorBidi"/>
        </w:rPr>
        <w:t>,</w:t>
      </w:r>
      <w:r w:rsidR="002E6A62" w:rsidRPr="2C561418">
        <w:rPr>
          <w:rFonts w:asciiTheme="minorHAnsi" w:hAnsiTheme="minorHAnsi" w:cstheme="minorBidi"/>
        </w:rPr>
        <w:t xml:space="preserve"> particularly when drafting practice directions</w:t>
      </w:r>
      <w:r w:rsidR="00537B1D" w:rsidRPr="2C561418">
        <w:rPr>
          <w:rFonts w:asciiTheme="minorHAnsi" w:hAnsiTheme="minorHAnsi" w:cstheme="minorBidi"/>
        </w:rPr>
        <w:t xml:space="preserve">, such as those governing the </w:t>
      </w:r>
      <w:r w:rsidR="006578D7" w:rsidRPr="2C561418">
        <w:rPr>
          <w:rFonts w:asciiTheme="minorHAnsi" w:hAnsiTheme="minorHAnsi" w:cstheme="minorBidi"/>
        </w:rPr>
        <w:t xml:space="preserve">Tribunal </w:t>
      </w:r>
      <w:r w:rsidR="00537B1D" w:rsidRPr="2C561418">
        <w:rPr>
          <w:rFonts w:asciiTheme="minorHAnsi" w:hAnsiTheme="minorHAnsi" w:cstheme="minorBidi"/>
        </w:rPr>
        <w:t>application process,</w:t>
      </w:r>
      <w:r w:rsidR="002E6A62" w:rsidRPr="2C561418">
        <w:rPr>
          <w:rFonts w:asciiTheme="minorHAnsi" w:hAnsiTheme="minorHAnsi" w:cstheme="minorBidi"/>
        </w:rPr>
        <w:t xml:space="preserve"> under clause 36</w:t>
      </w:r>
      <w:r w:rsidR="00D350A0" w:rsidRPr="2C561418">
        <w:rPr>
          <w:rFonts w:asciiTheme="minorHAnsi" w:hAnsiTheme="minorHAnsi" w:cstheme="minorBidi"/>
        </w:rPr>
        <w:t xml:space="preserve">, the President can ensure that the Tribunal fulfills the </w:t>
      </w:r>
      <w:r w:rsidR="000F69D9" w:rsidRPr="2C561418">
        <w:rPr>
          <w:rFonts w:asciiTheme="minorHAnsi" w:hAnsiTheme="minorHAnsi" w:cstheme="minorBidi"/>
        </w:rPr>
        <w:t>objects and principles of the legislation</w:t>
      </w:r>
      <w:r w:rsidR="006A3533" w:rsidRPr="2C561418">
        <w:rPr>
          <w:rFonts w:asciiTheme="minorHAnsi" w:hAnsiTheme="minorHAnsi" w:cstheme="minorBidi"/>
        </w:rPr>
        <w:t xml:space="preserve"> </w:t>
      </w:r>
      <w:r w:rsidR="00C70296" w:rsidRPr="2C561418">
        <w:rPr>
          <w:rFonts w:asciiTheme="minorHAnsi" w:hAnsiTheme="minorHAnsi" w:cstheme="minorBidi"/>
        </w:rPr>
        <w:t>that</w:t>
      </w:r>
      <w:r w:rsidR="006A3533" w:rsidRPr="2C561418">
        <w:rPr>
          <w:rFonts w:asciiTheme="minorHAnsi" w:hAnsiTheme="minorHAnsi" w:cstheme="minorBidi"/>
        </w:rPr>
        <w:t xml:space="preserve"> require </w:t>
      </w:r>
      <w:r w:rsidR="00281709" w:rsidRPr="2C561418">
        <w:rPr>
          <w:rFonts w:asciiTheme="minorHAnsi" w:hAnsiTheme="minorHAnsi" w:cstheme="minorBidi"/>
        </w:rPr>
        <w:t>accessibility</w:t>
      </w:r>
      <w:r w:rsidRPr="2C561418">
        <w:rPr>
          <w:rFonts w:asciiTheme="minorHAnsi" w:hAnsiTheme="minorHAnsi" w:cstheme="minorBidi"/>
        </w:rPr>
        <w:t xml:space="preserve">. </w:t>
      </w:r>
      <w:r w:rsidR="00B62C0F" w:rsidRPr="2C561418">
        <w:rPr>
          <w:rFonts w:asciiTheme="minorHAnsi" w:hAnsiTheme="minorHAnsi" w:cstheme="minorBidi"/>
        </w:rPr>
        <w:t xml:space="preserve">Nobody </w:t>
      </w:r>
      <w:r w:rsidR="000C7AFE" w:rsidRPr="2C561418">
        <w:rPr>
          <w:rFonts w:asciiTheme="minorHAnsi" w:hAnsiTheme="minorHAnsi" w:cstheme="minorBidi"/>
        </w:rPr>
        <w:t xml:space="preserve">understands access needs for people living with disability </w:t>
      </w:r>
      <w:r w:rsidR="00711BBA" w:rsidRPr="2C561418">
        <w:rPr>
          <w:rFonts w:asciiTheme="minorHAnsi" w:hAnsiTheme="minorHAnsi" w:cstheme="minorBidi"/>
        </w:rPr>
        <w:t>like people living with disability themselves.</w:t>
      </w:r>
      <w:r w:rsidR="00B62C0F" w:rsidRPr="2C561418">
        <w:rPr>
          <w:rFonts w:asciiTheme="minorHAnsi" w:hAnsiTheme="minorHAnsi" w:cstheme="minorBidi"/>
        </w:rPr>
        <w:t xml:space="preserve"> </w:t>
      </w:r>
      <w:r w:rsidR="005F2479" w:rsidRPr="2C561418">
        <w:rPr>
          <w:rFonts w:asciiTheme="minorHAnsi" w:hAnsiTheme="minorHAnsi" w:cstheme="minorBidi"/>
        </w:rPr>
        <w:t>Co-design</w:t>
      </w:r>
      <w:r w:rsidR="005174A6" w:rsidRPr="2C561418">
        <w:rPr>
          <w:rFonts w:asciiTheme="minorHAnsi" w:hAnsiTheme="minorHAnsi" w:cstheme="minorBidi"/>
        </w:rPr>
        <w:t>ing key resources</w:t>
      </w:r>
      <w:r w:rsidR="005F2479" w:rsidRPr="2C561418">
        <w:rPr>
          <w:rFonts w:asciiTheme="minorHAnsi" w:hAnsiTheme="minorHAnsi" w:cstheme="minorBidi"/>
        </w:rPr>
        <w:t xml:space="preserve"> would </w:t>
      </w:r>
      <w:r w:rsidR="00167C86" w:rsidRPr="2C561418">
        <w:rPr>
          <w:rFonts w:asciiTheme="minorHAnsi" w:hAnsiTheme="minorHAnsi" w:cstheme="minorBidi"/>
        </w:rPr>
        <w:t xml:space="preserve">help the Tribunal to </w:t>
      </w:r>
      <w:r w:rsidR="00C229FA" w:rsidRPr="2C561418">
        <w:rPr>
          <w:rFonts w:asciiTheme="minorHAnsi" w:hAnsiTheme="minorHAnsi" w:cstheme="minorBidi"/>
        </w:rPr>
        <w:t xml:space="preserve">improve </w:t>
      </w:r>
      <w:r w:rsidR="00AF580E" w:rsidRPr="2C561418">
        <w:rPr>
          <w:rFonts w:asciiTheme="minorHAnsi" w:hAnsiTheme="minorHAnsi" w:cstheme="minorBidi"/>
        </w:rPr>
        <w:t>its processes</w:t>
      </w:r>
      <w:r w:rsidR="00167C86" w:rsidRPr="2C561418">
        <w:rPr>
          <w:rFonts w:asciiTheme="minorHAnsi" w:hAnsiTheme="minorHAnsi" w:cstheme="minorBidi"/>
        </w:rPr>
        <w:t xml:space="preserve"> </w:t>
      </w:r>
      <w:r w:rsidR="005174A6" w:rsidRPr="2C561418">
        <w:rPr>
          <w:rFonts w:asciiTheme="minorHAnsi" w:hAnsiTheme="minorHAnsi" w:cstheme="minorBidi"/>
        </w:rPr>
        <w:t xml:space="preserve">not only </w:t>
      </w:r>
      <w:r w:rsidR="00C229FA" w:rsidRPr="2C561418">
        <w:rPr>
          <w:rFonts w:asciiTheme="minorHAnsi" w:hAnsiTheme="minorHAnsi" w:cstheme="minorBidi"/>
        </w:rPr>
        <w:t>for</w:t>
      </w:r>
      <w:r w:rsidR="005174A6" w:rsidRPr="2C561418">
        <w:rPr>
          <w:rFonts w:asciiTheme="minorHAnsi" w:hAnsiTheme="minorHAnsi" w:cstheme="minorBidi"/>
        </w:rPr>
        <w:t xml:space="preserve"> people living with disability, but </w:t>
      </w:r>
      <w:r w:rsidR="00C229FA" w:rsidRPr="2C561418">
        <w:rPr>
          <w:rFonts w:asciiTheme="minorHAnsi" w:hAnsiTheme="minorHAnsi" w:cstheme="minorBidi"/>
        </w:rPr>
        <w:t>for</w:t>
      </w:r>
      <w:r w:rsidR="00A82052" w:rsidRPr="2C561418">
        <w:rPr>
          <w:rFonts w:asciiTheme="minorHAnsi" w:hAnsiTheme="minorHAnsi" w:cstheme="minorBidi"/>
        </w:rPr>
        <w:t xml:space="preserve"> all applicants from diverse backgrounds</w:t>
      </w:r>
      <w:r w:rsidR="005174A6" w:rsidRPr="2C561418">
        <w:rPr>
          <w:rFonts w:asciiTheme="minorHAnsi" w:hAnsiTheme="minorHAnsi" w:cstheme="minorBidi"/>
        </w:rPr>
        <w:t>.</w:t>
      </w:r>
    </w:p>
    <w:p w14:paraId="11056159" w14:textId="77777777" w:rsidR="005317A6" w:rsidRDefault="005317A6" w:rsidP="0E887DD2">
      <w:pPr>
        <w:pStyle w:val="Default"/>
        <w:spacing w:line="360" w:lineRule="auto"/>
        <w:rPr>
          <w:rFonts w:asciiTheme="minorHAnsi" w:hAnsiTheme="minorHAnsi" w:cstheme="minorBidi"/>
        </w:rPr>
      </w:pPr>
    </w:p>
    <w:p w14:paraId="7B79898A" w14:textId="1E28E592" w:rsidR="004C362A" w:rsidRDefault="00824C20" w:rsidP="0E887DD2">
      <w:pPr>
        <w:pStyle w:val="Default"/>
        <w:spacing w:line="360" w:lineRule="auto"/>
        <w:rPr>
          <w:rFonts w:asciiTheme="minorHAnsi" w:hAnsiTheme="minorHAnsi" w:cstheme="minorBidi"/>
        </w:rPr>
      </w:pPr>
      <w:r w:rsidRPr="0E887DD2">
        <w:rPr>
          <w:rFonts w:asciiTheme="minorHAnsi" w:hAnsiTheme="minorHAnsi" w:cstheme="minorBidi"/>
        </w:rPr>
        <w:t>Co-design</w:t>
      </w:r>
      <w:r w:rsidR="00D86983" w:rsidRPr="0E887DD2">
        <w:rPr>
          <w:rFonts w:asciiTheme="minorHAnsi" w:hAnsiTheme="minorHAnsi" w:cstheme="minorBidi"/>
        </w:rPr>
        <w:t>, which was endorsed by the Disability Royal Commission</w:t>
      </w:r>
      <w:r w:rsidR="001343F3" w:rsidRPr="0E887DD2">
        <w:rPr>
          <w:rFonts w:asciiTheme="minorHAnsi" w:hAnsiTheme="minorHAnsi" w:cstheme="minorBidi"/>
        </w:rPr>
        <w:t>, for example in Recommendation 4.19</w:t>
      </w:r>
      <w:r w:rsidR="00F51750" w:rsidRPr="0E887DD2">
        <w:rPr>
          <w:rStyle w:val="FootnoteReference"/>
          <w:rFonts w:asciiTheme="minorHAnsi" w:hAnsiTheme="minorHAnsi" w:cstheme="minorBidi"/>
        </w:rPr>
        <w:footnoteReference w:id="5"/>
      </w:r>
      <w:r w:rsidR="001343F3" w:rsidRPr="0E887DD2">
        <w:rPr>
          <w:rFonts w:asciiTheme="minorHAnsi" w:hAnsiTheme="minorHAnsi" w:cstheme="minorBidi"/>
        </w:rPr>
        <w:t>,</w:t>
      </w:r>
      <w:r w:rsidR="004310BA" w:rsidRPr="0E887DD2">
        <w:rPr>
          <w:rFonts w:asciiTheme="minorHAnsi" w:hAnsiTheme="minorHAnsi" w:cstheme="minorBidi"/>
        </w:rPr>
        <w:t xml:space="preserve"> ensures that the diverse perspectives and expertise of civil society </w:t>
      </w:r>
      <w:r w:rsidR="00B3417B" w:rsidRPr="0E887DD2">
        <w:rPr>
          <w:rFonts w:asciiTheme="minorHAnsi" w:hAnsiTheme="minorHAnsi" w:cstheme="minorBidi"/>
        </w:rPr>
        <w:t xml:space="preserve">and diverse communities </w:t>
      </w:r>
      <w:r w:rsidR="004310BA" w:rsidRPr="0E887DD2">
        <w:rPr>
          <w:rFonts w:asciiTheme="minorHAnsi" w:hAnsiTheme="minorHAnsi" w:cstheme="minorBidi"/>
        </w:rPr>
        <w:t xml:space="preserve">are considered </w:t>
      </w:r>
      <w:r w:rsidR="00D50A9C" w:rsidRPr="0E887DD2">
        <w:rPr>
          <w:rFonts w:asciiTheme="minorHAnsi" w:hAnsiTheme="minorHAnsi" w:cstheme="minorBidi"/>
        </w:rPr>
        <w:t>when</w:t>
      </w:r>
      <w:r w:rsidR="007A0939" w:rsidRPr="0E887DD2">
        <w:rPr>
          <w:rFonts w:asciiTheme="minorHAnsi" w:hAnsiTheme="minorHAnsi" w:cstheme="minorBidi"/>
        </w:rPr>
        <w:t xml:space="preserve"> shaping and adapting</w:t>
      </w:r>
      <w:r w:rsidR="004310BA" w:rsidRPr="0E887DD2">
        <w:rPr>
          <w:rFonts w:asciiTheme="minorHAnsi" w:hAnsiTheme="minorHAnsi" w:cstheme="minorBidi"/>
        </w:rPr>
        <w:t xml:space="preserve"> the </w:t>
      </w:r>
      <w:r w:rsidR="006E03A7" w:rsidRPr="0E887DD2">
        <w:rPr>
          <w:rFonts w:asciiTheme="minorHAnsi" w:hAnsiTheme="minorHAnsi" w:cstheme="minorBidi"/>
        </w:rPr>
        <w:t>T</w:t>
      </w:r>
      <w:r w:rsidR="004310BA" w:rsidRPr="0E887DD2">
        <w:rPr>
          <w:rFonts w:asciiTheme="minorHAnsi" w:hAnsiTheme="minorHAnsi" w:cstheme="minorBidi"/>
        </w:rPr>
        <w:t>ribunal</w:t>
      </w:r>
      <w:r w:rsidR="004D0292" w:rsidRPr="0E887DD2">
        <w:rPr>
          <w:rFonts w:asciiTheme="minorHAnsi" w:hAnsiTheme="minorHAnsi" w:cstheme="minorBidi"/>
        </w:rPr>
        <w:t>’</w:t>
      </w:r>
      <w:r w:rsidR="004310BA" w:rsidRPr="0E887DD2">
        <w:rPr>
          <w:rFonts w:asciiTheme="minorHAnsi" w:hAnsiTheme="minorHAnsi" w:cstheme="minorBidi"/>
        </w:rPr>
        <w:t xml:space="preserve">s functions, promoting transparency, accountability, and the development of well-informed policies. Emphasizing co-design within the specified functions of the </w:t>
      </w:r>
      <w:r w:rsidR="000E0103" w:rsidRPr="0E887DD2">
        <w:rPr>
          <w:rFonts w:asciiTheme="minorHAnsi" w:hAnsiTheme="minorHAnsi" w:cstheme="minorBidi"/>
        </w:rPr>
        <w:t>T</w:t>
      </w:r>
      <w:r w:rsidR="004310BA" w:rsidRPr="0E887DD2">
        <w:rPr>
          <w:rFonts w:asciiTheme="minorHAnsi" w:hAnsiTheme="minorHAnsi" w:cstheme="minorBidi"/>
        </w:rPr>
        <w:t xml:space="preserve">ribunal </w:t>
      </w:r>
      <w:r w:rsidR="000E0103" w:rsidRPr="0E887DD2">
        <w:rPr>
          <w:rFonts w:asciiTheme="minorHAnsi" w:hAnsiTheme="minorHAnsi" w:cstheme="minorBidi"/>
        </w:rPr>
        <w:t>P</w:t>
      </w:r>
      <w:r w:rsidR="004310BA" w:rsidRPr="0E887DD2">
        <w:rPr>
          <w:rFonts w:asciiTheme="minorHAnsi" w:hAnsiTheme="minorHAnsi" w:cstheme="minorBidi"/>
        </w:rPr>
        <w:t>resident aligns with contemporary principles of governance</w:t>
      </w:r>
      <w:r w:rsidR="0028278B" w:rsidRPr="0E887DD2">
        <w:rPr>
          <w:rFonts w:asciiTheme="minorHAnsi" w:hAnsiTheme="minorHAnsi" w:cstheme="minorBidi"/>
        </w:rPr>
        <w:t>.</w:t>
      </w:r>
    </w:p>
    <w:p w14:paraId="09E350C3" w14:textId="77777777" w:rsidR="00B77B49" w:rsidRDefault="00B77B49" w:rsidP="0E887DD2">
      <w:pPr>
        <w:pStyle w:val="Default"/>
        <w:spacing w:line="360" w:lineRule="auto"/>
        <w:rPr>
          <w:rFonts w:asciiTheme="minorHAnsi" w:hAnsiTheme="minorHAnsi" w:cstheme="minorBidi"/>
        </w:rPr>
      </w:pPr>
    </w:p>
    <w:p w14:paraId="674BD37B" w14:textId="4237E2AD" w:rsidR="0E887DD2" w:rsidRDefault="00FA01B4" w:rsidP="0E887DD2">
      <w:pPr>
        <w:pStyle w:val="Default"/>
        <w:spacing w:line="360" w:lineRule="auto"/>
        <w:rPr>
          <w:rFonts w:asciiTheme="minorHAnsi" w:hAnsiTheme="minorHAnsi" w:cstheme="minorBidi"/>
        </w:rPr>
      </w:pPr>
      <w:r w:rsidRPr="0E887DD2">
        <w:rPr>
          <w:rStyle w:val="normaltextrun"/>
          <w:rFonts w:asciiTheme="minorHAnsi" w:hAnsiTheme="minorHAnsi" w:cstheme="minorBidi"/>
          <w:b/>
          <w:bCs/>
          <w:color w:val="522E91"/>
        </w:rPr>
        <w:lastRenderedPageBreak/>
        <w:t>Recommendation 2:</w:t>
      </w:r>
      <w:r w:rsidRPr="0E887DD2">
        <w:rPr>
          <w:rStyle w:val="normaltextrun"/>
          <w:rFonts w:asciiTheme="minorHAnsi" w:hAnsiTheme="minorHAnsi" w:cstheme="minorBidi"/>
          <w:b/>
          <w:bCs/>
          <w:color w:val="7030A0"/>
        </w:rPr>
        <w:t> </w:t>
      </w:r>
      <w:r w:rsidRPr="0E887DD2">
        <w:rPr>
          <w:rStyle w:val="normaltextrun"/>
          <w:rFonts w:asciiTheme="minorHAnsi" w:hAnsiTheme="minorHAnsi" w:cstheme="minorBidi"/>
          <w:b/>
          <w:bCs/>
        </w:rPr>
        <w:t xml:space="preserve">The Committee </w:t>
      </w:r>
      <w:r w:rsidR="004D0292" w:rsidRPr="0E887DD2">
        <w:rPr>
          <w:rStyle w:val="normaltextrun"/>
          <w:rFonts w:asciiTheme="minorHAnsi" w:hAnsiTheme="minorHAnsi" w:cstheme="minorBidi"/>
          <w:b/>
          <w:bCs/>
        </w:rPr>
        <w:t xml:space="preserve">should </w:t>
      </w:r>
      <w:r w:rsidRPr="0E887DD2">
        <w:rPr>
          <w:rStyle w:val="normaltextrun"/>
          <w:rFonts w:asciiTheme="minorHAnsi" w:hAnsiTheme="minorHAnsi" w:cstheme="minorBidi"/>
          <w:b/>
          <w:bCs/>
        </w:rPr>
        <w:t>recommend</w:t>
      </w:r>
      <w:r w:rsidR="0008278B" w:rsidRPr="0E887DD2">
        <w:rPr>
          <w:rStyle w:val="normaltextrun"/>
          <w:rFonts w:asciiTheme="minorHAnsi" w:hAnsiTheme="minorHAnsi" w:cstheme="minorBidi"/>
          <w:b/>
          <w:bCs/>
        </w:rPr>
        <w:t xml:space="preserve"> clause 193 of the Administrative Review Tribunal Bill 2023 be amended</w:t>
      </w:r>
      <w:r w:rsidR="00F74BF5" w:rsidRPr="0E887DD2">
        <w:rPr>
          <w:rStyle w:val="normaltextrun"/>
          <w:rFonts w:asciiTheme="minorHAnsi" w:hAnsiTheme="minorHAnsi" w:cstheme="minorBidi"/>
          <w:b/>
          <w:bCs/>
        </w:rPr>
        <w:t xml:space="preserve"> to empower the President with </w:t>
      </w:r>
      <w:r w:rsidR="004D0292" w:rsidRPr="0E887DD2">
        <w:rPr>
          <w:rStyle w:val="normaltextrun"/>
          <w:rFonts w:asciiTheme="minorHAnsi" w:hAnsiTheme="minorHAnsi" w:cstheme="minorBidi"/>
          <w:b/>
          <w:bCs/>
        </w:rPr>
        <w:t xml:space="preserve">a </w:t>
      </w:r>
      <w:r w:rsidR="00F21649" w:rsidRPr="0E887DD2">
        <w:rPr>
          <w:rStyle w:val="normaltextrun"/>
          <w:rFonts w:asciiTheme="minorHAnsi" w:hAnsiTheme="minorHAnsi" w:cstheme="minorBidi"/>
          <w:b/>
          <w:bCs/>
        </w:rPr>
        <w:t xml:space="preserve">co-design function. </w:t>
      </w:r>
    </w:p>
    <w:p w14:paraId="429B14A4" w14:textId="7F75CBA2" w:rsidR="00F63703" w:rsidRPr="003E6EEA" w:rsidRDefault="000E437B" w:rsidP="0E887DD2">
      <w:pPr>
        <w:pStyle w:val="Heading2"/>
        <w:keepNext w:val="0"/>
        <w:keepLines w:val="0"/>
        <w:spacing w:line="360" w:lineRule="auto"/>
        <w:rPr>
          <w:color w:val="7030A0"/>
        </w:rPr>
      </w:pPr>
      <w:bookmarkStart w:id="5" w:name="_Toc156546019"/>
      <w:r>
        <w:rPr>
          <w:color w:val="7030A0"/>
        </w:rPr>
        <w:t xml:space="preserve">4.2 </w:t>
      </w:r>
      <w:r w:rsidR="00F63703" w:rsidRPr="2C561418">
        <w:rPr>
          <w:color w:val="7030A0"/>
        </w:rPr>
        <w:t>Need for Co-Designed Training and Education</w:t>
      </w:r>
      <w:bookmarkEnd w:id="5"/>
    </w:p>
    <w:p w14:paraId="13CEFC05" w14:textId="1B9A7CBE" w:rsidR="004B28FD" w:rsidRPr="00146C13" w:rsidRDefault="00417A0C" w:rsidP="0E887DD2">
      <w:pPr>
        <w:pStyle w:val="Default"/>
        <w:spacing w:line="360" w:lineRule="auto"/>
        <w:rPr>
          <w:rFonts w:asciiTheme="minorHAnsi" w:hAnsiTheme="minorHAnsi" w:cstheme="minorBidi"/>
        </w:rPr>
      </w:pPr>
      <w:r w:rsidRPr="0E887DD2">
        <w:rPr>
          <w:rFonts w:asciiTheme="minorHAnsi" w:hAnsiTheme="minorHAnsi" w:cstheme="minorBidi"/>
        </w:rPr>
        <w:t>While the explanatory memorandum of the Bill acknowledges</w:t>
      </w:r>
      <w:r w:rsidR="008F2983" w:rsidRPr="0E887DD2">
        <w:rPr>
          <w:rFonts w:asciiTheme="minorHAnsi" w:hAnsiTheme="minorHAnsi" w:cstheme="minorBidi"/>
        </w:rPr>
        <w:t xml:space="preserve"> that it is important for the President to promote training of Members</w:t>
      </w:r>
      <w:r w:rsidRPr="0E887DD2">
        <w:rPr>
          <w:rFonts w:asciiTheme="minorHAnsi" w:hAnsiTheme="minorHAnsi" w:cstheme="minorBidi"/>
        </w:rPr>
        <w:t>, particularly in effective decision-making concerning people</w:t>
      </w:r>
      <w:r w:rsidR="00572225" w:rsidRPr="0E887DD2">
        <w:rPr>
          <w:rFonts w:asciiTheme="minorHAnsi" w:hAnsiTheme="minorHAnsi" w:cstheme="minorBidi"/>
        </w:rPr>
        <w:t xml:space="preserve"> living</w:t>
      </w:r>
      <w:r w:rsidRPr="0E887DD2">
        <w:rPr>
          <w:rFonts w:asciiTheme="minorHAnsi" w:hAnsiTheme="minorHAnsi" w:cstheme="minorBidi"/>
        </w:rPr>
        <w:t xml:space="preserve"> with disabilit</w:t>
      </w:r>
      <w:r w:rsidR="00385DC4" w:rsidRPr="0E887DD2">
        <w:rPr>
          <w:rFonts w:asciiTheme="minorHAnsi" w:hAnsiTheme="minorHAnsi" w:cstheme="minorBidi"/>
        </w:rPr>
        <w:t>y</w:t>
      </w:r>
      <w:r w:rsidRPr="0E887DD2">
        <w:rPr>
          <w:rFonts w:asciiTheme="minorHAnsi" w:hAnsiTheme="minorHAnsi" w:cstheme="minorBidi"/>
        </w:rPr>
        <w:t xml:space="preserve">, cross-cultural communication, working with interpreters, and trauma-informed practice, </w:t>
      </w:r>
      <w:r w:rsidR="00E02850" w:rsidRPr="0E887DD2">
        <w:rPr>
          <w:rFonts w:asciiTheme="minorHAnsi" w:hAnsiTheme="minorHAnsi" w:cstheme="minorBidi"/>
        </w:rPr>
        <w:t>this training, under clause 193</w:t>
      </w:r>
      <w:r w:rsidR="000E45D4" w:rsidRPr="0E887DD2">
        <w:rPr>
          <w:rFonts w:asciiTheme="minorHAnsi" w:hAnsiTheme="minorHAnsi" w:cstheme="minorBidi"/>
        </w:rPr>
        <w:t xml:space="preserve"> h)</w:t>
      </w:r>
      <w:r w:rsidR="00511596" w:rsidRPr="0E887DD2">
        <w:rPr>
          <w:rFonts w:asciiTheme="minorHAnsi" w:hAnsiTheme="minorHAnsi" w:cstheme="minorBidi"/>
        </w:rPr>
        <w:t xml:space="preserve">, </w:t>
      </w:r>
      <w:r w:rsidR="003E50D5" w:rsidRPr="0E887DD2">
        <w:rPr>
          <w:rFonts w:asciiTheme="minorHAnsi" w:hAnsiTheme="minorHAnsi" w:cstheme="minorBidi"/>
        </w:rPr>
        <w:t xml:space="preserve">must </w:t>
      </w:r>
      <w:r w:rsidR="00511596" w:rsidRPr="0E887DD2">
        <w:rPr>
          <w:rFonts w:asciiTheme="minorHAnsi" w:hAnsiTheme="minorHAnsi" w:cstheme="minorBidi"/>
        </w:rPr>
        <w:t>be mandatory</w:t>
      </w:r>
      <w:r w:rsidR="00981AA4" w:rsidRPr="0E887DD2">
        <w:rPr>
          <w:rFonts w:asciiTheme="minorHAnsi" w:hAnsiTheme="minorHAnsi" w:cstheme="minorBidi"/>
        </w:rPr>
        <w:t xml:space="preserve"> and co-designed</w:t>
      </w:r>
      <w:r w:rsidRPr="0E887DD2">
        <w:rPr>
          <w:rFonts w:asciiTheme="minorHAnsi" w:hAnsiTheme="minorHAnsi" w:cstheme="minorBidi"/>
        </w:rPr>
        <w:t xml:space="preserve">. By mandating this training, </w:t>
      </w:r>
      <w:r w:rsidR="00717773" w:rsidRPr="0E887DD2">
        <w:rPr>
          <w:rFonts w:asciiTheme="minorHAnsi" w:hAnsiTheme="minorHAnsi" w:cstheme="minorBidi"/>
        </w:rPr>
        <w:t xml:space="preserve">the </w:t>
      </w:r>
      <w:r w:rsidR="00E07BDC" w:rsidRPr="0E887DD2">
        <w:rPr>
          <w:rFonts w:asciiTheme="minorHAnsi" w:hAnsiTheme="minorHAnsi" w:cstheme="minorBidi"/>
        </w:rPr>
        <w:t>Bill</w:t>
      </w:r>
      <w:r w:rsidR="00ED7C2E" w:rsidRPr="0E887DD2">
        <w:rPr>
          <w:rFonts w:asciiTheme="minorHAnsi" w:hAnsiTheme="minorHAnsi" w:cstheme="minorBidi"/>
        </w:rPr>
        <w:t xml:space="preserve"> would</w:t>
      </w:r>
      <w:r w:rsidRPr="0E887DD2">
        <w:rPr>
          <w:rFonts w:asciiTheme="minorHAnsi" w:hAnsiTheme="minorHAnsi" w:cstheme="minorBidi"/>
        </w:rPr>
        <w:t xml:space="preserve"> ensure a consistent and heightened level of competence among </w:t>
      </w:r>
      <w:r w:rsidR="003F3FC4" w:rsidRPr="0E887DD2">
        <w:rPr>
          <w:rFonts w:asciiTheme="minorHAnsi" w:hAnsiTheme="minorHAnsi" w:cstheme="minorBidi"/>
        </w:rPr>
        <w:t>T</w:t>
      </w:r>
      <w:r w:rsidRPr="0E887DD2">
        <w:rPr>
          <w:rFonts w:asciiTheme="minorHAnsi" w:hAnsiTheme="minorHAnsi" w:cstheme="minorBidi"/>
        </w:rPr>
        <w:t>ribunal</w:t>
      </w:r>
      <w:r w:rsidR="003F3FC4" w:rsidRPr="0E887DD2">
        <w:rPr>
          <w:rFonts w:asciiTheme="minorHAnsi" w:hAnsiTheme="minorHAnsi" w:cstheme="minorBidi"/>
        </w:rPr>
        <w:t xml:space="preserve"> M</w:t>
      </w:r>
      <w:r w:rsidRPr="0E887DD2">
        <w:rPr>
          <w:rFonts w:asciiTheme="minorHAnsi" w:hAnsiTheme="minorHAnsi" w:cstheme="minorBidi"/>
        </w:rPr>
        <w:t xml:space="preserve">embers, fostering a more inclusive and responsive environment. The complexities associated with decision-making for diverse populations, such as </w:t>
      </w:r>
      <w:r w:rsidR="002D0455" w:rsidRPr="0E887DD2">
        <w:rPr>
          <w:rFonts w:asciiTheme="minorHAnsi" w:hAnsiTheme="minorHAnsi" w:cstheme="minorBidi"/>
        </w:rPr>
        <w:t>people living</w:t>
      </w:r>
      <w:r w:rsidRPr="0E887DD2">
        <w:rPr>
          <w:rFonts w:asciiTheme="minorHAnsi" w:hAnsiTheme="minorHAnsi" w:cstheme="minorBidi"/>
        </w:rPr>
        <w:t xml:space="preserve"> with disabilit</w:t>
      </w:r>
      <w:r w:rsidR="00742FC4" w:rsidRPr="0E887DD2">
        <w:rPr>
          <w:rFonts w:asciiTheme="minorHAnsi" w:hAnsiTheme="minorHAnsi" w:cstheme="minorBidi"/>
        </w:rPr>
        <w:t>y</w:t>
      </w:r>
      <w:r w:rsidRPr="0E887DD2">
        <w:rPr>
          <w:rFonts w:asciiTheme="minorHAnsi" w:hAnsiTheme="minorHAnsi" w:cstheme="minorBidi"/>
        </w:rPr>
        <w:t>, require</w:t>
      </w:r>
      <w:r w:rsidR="00981AA4" w:rsidRPr="0E887DD2">
        <w:rPr>
          <w:rFonts w:asciiTheme="minorHAnsi" w:hAnsiTheme="minorHAnsi" w:cstheme="minorBidi"/>
        </w:rPr>
        <w:t>s</w:t>
      </w:r>
      <w:r w:rsidRPr="0E887DD2">
        <w:rPr>
          <w:rFonts w:asciiTheme="minorHAnsi" w:hAnsiTheme="minorHAnsi" w:cstheme="minorBidi"/>
        </w:rPr>
        <w:t xml:space="preserve"> standardized </w:t>
      </w:r>
      <w:r w:rsidR="005E22D0" w:rsidRPr="0E887DD2">
        <w:rPr>
          <w:rFonts w:asciiTheme="minorHAnsi" w:hAnsiTheme="minorHAnsi" w:cstheme="minorBidi"/>
        </w:rPr>
        <w:t>training of all Members</w:t>
      </w:r>
      <w:r w:rsidRPr="0E887DD2">
        <w:rPr>
          <w:rFonts w:asciiTheme="minorHAnsi" w:hAnsiTheme="minorHAnsi" w:cstheme="minorBidi"/>
        </w:rPr>
        <w:t xml:space="preserve"> to enhance </w:t>
      </w:r>
      <w:r w:rsidR="005E22D0" w:rsidRPr="0E887DD2">
        <w:rPr>
          <w:rFonts w:asciiTheme="minorHAnsi" w:hAnsiTheme="minorHAnsi" w:cstheme="minorBidi"/>
        </w:rPr>
        <w:t xml:space="preserve">inclusion, </w:t>
      </w:r>
      <w:r w:rsidR="00241C8F" w:rsidRPr="0E887DD2">
        <w:rPr>
          <w:rFonts w:asciiTheme="minorHAnsi" w:hAnsiTheme="minorHAnsi" w:cstheme="minorBidi"/>
        </w:rPr>
        <w:t>combat stigma</w:t>
      </w:r>
      <w:r w:rsidRPr="0E887DD2">
        <w:rPr>
          <w:rFonts w:asciiTheme="minorHAnsi" w:hAnsiTheme="minorHAnsi" w:cstheme="minorBidi"/>
        </w:rPr>
        <w:t xml:space="preserve"> and</w:t>
      </w:r>
      <w:r w:rsidR="00241C8F" w:rsidRPr="0E887DD2">
        <w:rPr>
          <w:rFonts w:asciiTheme="minorHAnsi" w:hAnsiTheme="minorHAnsi" w:cstheme="minorBidi"/>
        </w:rPr>
        <w:t xml:space="preserve"> build</w:t>
      </w:r>
      <w:r w:rsidRPr="0E887DD2">
        <w:rPr>
          <w:rFonts w:asciiTheme="minorHAnsi" w:hAnsiTheme="minorHAnsi" w:cstheme="minorBidi"/>
        </w:rPr>
        <w:t xml:space="preserve"> understanding. Making this training mandatory aligns with the commitment to uphold equal access to justice and ensures that </w:t>
      </w:r>
      <w:r w:rsidR="00241C8F" w:rsidRPr="0E887DD2">
        <w:rPr>
          <w:rFonts w:asciiTheme="minorHAnsi" w:hAnsiTheme="minorHAnsi" w:cstheme="minorBidi"/>
        </w:rPr>
        <w:t>T</w:t>
      </w:r>
      <w:r w:rsidRPr="0E887DD2">
        <w:rPr>
          <w:rFonts w:asciiTheme="minorHAnsi" w:hAnsiTheme="minorHAnsi" w:cstheme="minorBidi"/>
        </w:rPr>
        <w:t xml:space="preserve">ribunal </w:t>
      </w:r>
      <w:r w:rsidR="00241C8F" w:rsidRPr="0E887DD2">
        <w:rPr>
          <w:rFonts w:asciiTheme="minorHAnsi" w:hAnsiTheme="minorHAnsi" w:cstheme="minorBidi"/>
        </w:rPr>
        <w:t>M</w:t>
      </w:r>
      <w:r w:rsidRPr="0E887DD2">
        <w:rPr>
          <w:rFonts w:asciiTheme="minorHAnsi" w:hAnsiTheme="minorHAnsi" w:cstheme="minorBidi"/>
        </w:rPr>
        <w:t xml:space="preserve">embers possess the necessary skills </w:t>
      </w:r>
      <w:r w:rsidR="00883502" w:rsidRPr="0E887DD2">
        <w:rPr>
          <w:rFonts w:asciiTheme="minorHAnsi" w:hAnsiTheme="minorHAnsi" w:cstheme="minorBidi"/>
        </w:rPr>
        <w:t xml:space="preserve">and awareness </w:t>
      </w:r>
      <w:r w:rsidRPr="0E887DD2">
        <w:rPr>
          <w:rFonts w:asciiTheme="minorHAnsi" w:hAnsiTheme="minorHAnsi" w:cstheme="minorBidi"/>
        </w:rPr>
        <w:t>to navigate the intricacies of diverse cases</w:t>
      </w:r>
      <w:r w:rsidR="008E0FDF" w:rsidRPr="0E887DD2">
        <w:rPr>
          <w:rFonts w:asciiTheme="minorHAnsi" w:hAnsiTheme="minorHAnsi" w:cstheme="minorBidi"/>
        </w:rPr>
        <w:t xml:space="preserve">. </w:t>
      </w:r>
      <w:r w:rsidR="004F6552" w:rsidRPr="0E887DD2">
        <w:rPr>
          <w:rFonts w:asciiTheme="minorHAnsi" w:hAnsiTheme="minorHAnsi" w:cstheme="minorBidi"/>
        </w:rPr>
        <w:t>C</w:t>
      </w:r>
      <w:r w:rsidR="00285FA2" w:rsidRPr="0E887DD2">
        <w:rPr>
          <w:rFonts w:asciiTheme="minorHAnsi" w:hAnsiTheme="minorHAnsi" w:cstheme="minorBidi"/>
        </w:rPr>
        <w:t xml:space="preserve">o-design ensures that </w:t>
      </w:r>
      <w:r w:rsidR="00840459" w:rsidRPr="0E887DD2">
        <w:rPr>
          <w:rFonts w:asciiTheme="minorHAnsi" w:hAnsiTheme="minorHAnsi" w:cstheme="minorBidi"/>
        </w:rPr>
        <w:t>th</w:t>
      </w:r>
      <w:r w:rsidR="009518EB" w:rsidRPr="0E887DD2">
        <w:rPr>
          <w:rFonts w:asciiTheme="minorHAnsi" w:hAnsiTheme="minorHAnsi" w:cstheme="minorBidi"/>
        </w:rPr>
        <w:t>is awareness accurately reflects the lived experiences of people living with disability</w:t>
      </w:r>
      <w:r w:rsidRPr="0E887DD2">
        <w:rPr>
          <w:rFonts w:asciiTheme="minorHAnsi" w:hAnsiTheme="minorHAnsi" w:cstheme="minorBidi"/>
        </w:rPr>
        <w:t>.</w:t>
      </w:r>
      <w:r w:rsidR="001F46D6" w:rsidRPr="0E887DD2">
        <w:rPr>
          <w:rFonts w:asciiTheme="minorHAnsi" w:hAnsiTheme="minorHAnsi" w:cstheme="minorBidi"/>
        </w:rPr>
        <w:t xml:space="preserve"> </w:t>
      </w:r>
    </w:p>
    <w:p w14:paraId="72B117C2" w14:textId="4AED5936" w:rsidR="00044237" w:rsidRDefault="00044237" w:rsidP="0E887DD2">
      <w:pPr>
        <w:pStyle w:val="Default"/>
        <w:spacing w:line="360" w:lineRule="auto"/>
        <w:rPr>
          <w:rFonts w:asciiTheme="minorHAnsi" w:hAnsiTheme="minorHAnsi" w:cstheme="minorBidi"/>
        </w:rPr>
      </w:pPr>
      <w:r w:rsidRPr="0E887DD2">
        <w:rPr>
          <w:rStyle w:val="normaltextrun"/>
          <w:rFonts w:asciiTheme="minorHAnsi" w:hAnsiTheme="minorHAnsi" w:cstheme="minorBidi"/>
          <w:b/>
          <w:bCs/>
          <w:color w:val="522E91"/>
        </w:rPr>
        <w:t xml:space="preserve">Recommendation </w:t>
      </w:r>
      <w:r w:rsidR="00257B44" w:rsidRPr="0E887DD2">
        <w:rPr>
          <w:rStyle w:val="normaltextrun"/>
          <w:rFonts w:asciiTheme="minorHAnsi" w:hAnsiTheme="minorHAnsi" w:cstheme="minorBidi"/>
          <w:b/>
          <w:bCs/>
          <w:color w:val="522E91"/>
        </w:rPr>
        <w:t>3</w:t>
      </w:r>
      <w:r w:rsidRPr="0E887DD2">
        <w:rPr>
          <w:rStyle w:val="normaltextrun"/>
          <w:rFonts w:asciiTheme="minorHAnsi" w:hAnsiTheme="minorHAnsi" w:cstheme="minorBidi"/>
          <w:b/>
          <w:bCs/>
          <w:color w:val="522E91"/>
        </w:rPr>
        <w:t>:</w:t>
      </w:r>
      <w:r w:rsidRPr="0E887DD2">
        <w:rPr>
          <w:rStyle w:val="normaltextrun"/>
          <w:rFonts w:asciiTheme="minorHAnsi" w:hAnsiTheme="minorHAnsi" w:cstheme="minorBidi"/>
          <w:b/>
          <w:bCs/>
          <w:color w:val="7030A0"/>
        </w:rPr>
        <w:t> </w:t>
      </w:r>
      <w:r w:rsidRPr="0E887DD2">
        <w:rPr>
          <w:rStyle w:val="normaltextrun"/>
          <w:rFonts w:asciiTheme="minorHAnsi" w:hAnsiTheme="minorHAnsi" w:cstheme="minorBidi"/>
          <w:b/>
          <w:bCs/>
        </w:rPr>
        <w:t xml:space="preserve">The Committee </w:t>
      </w:r>
      <w:r w:rsidR="003A0F87" w:rsidRPr="0E887DD2">
        <w:rPr>
          <w:rStyle w:val="normaltextrun"/>
          <w:rFonts w:asciiTheme="minorHAnsi" w:hAnsiTheme="minorHAnsi" w:cstheme="minorBidi"/>
          <w:b/>
          <w:bCs/>
        </w:rPr>
        <w:t xml:space="preserve">should </w:t>
      </w:r>
      <w:r w:rsidRPr="0E887DD2">
        <w:rPr>
          <w:rStyle w:val="normaltextrun"/>
          <w:rFonts w:asciiTheme="minorHAnsi" w:hAnsiTheme="minorHAnsi" w:cstheme="minorBidi"/>
          <w:b/>
          <w:bCs/>
        </w:rPr>
        <w:t>recommend clause 193</w:t>
      </w:r>
      <w:r w:rsidR="004B16D7" w:rsidRPr="0E887DD2">
        <w:rPr>
          <w:rStyle w:val="normaltextrun"/>
          <w:rFonts w:asciiTheme="minorHAnsi" w:hAnsiTheme="minorHAnsi" w:cstheme="minorBidi"/>
          <w:b/>
          <w:bCs/>
        </w:rPr>
        <w:t xml:space="preserve"> h)</w:t>
      </w:r>
      <w:r w:rsidRPr="0E887DD2">
        <w:rPr>
          <w:rStyle w:val="normaltextrun"/>
          <w:rFonts w:asciiTheme="minorHAnsi" w:hAnsiTheme="minorHAnsi" w:cstheme="minorBidi"/>
          <w:b/>
          <w:bCs/>
        </w:rPr>
        <w:t xml:space="preserve"> of the Administrative Review Tribunal Bill 2023 be amended</w:t>
      </w:r>
      <w:r w:rsidR="00AD7169" w:rsidRPr="0E887DD2">
        <w:rPr>
          <w:rStyle w:val="normaltextrun"/>
          <w:rFonts w:asciiTheme="minorHAnsi" w:hAnsiTheme="minorHAnsi" w:cstheme="minorBidi"/>
          <w:b/>
          <w:bCs/>
        </w:rPr>
        <w:t xml:space="preserve"> to make the</w:t>
      </w:r>
      <w:r w:rsidR="003F1357" w:rsidRPr="0E887DD2">
        <w:rPr>
          <w:rStyle w:val="normaltextrun"/>
          <w:rFonts w:asciiTheme="minorHAnsi" w:hAnsiTheme="minorHAnsi" w:cstheme="minorBidi"/>
          <w:b/>
          <w:bCs/>
        </w:rPr>
        <w:t xml:space="preserve"> President’s</w:t>
      </w:r>
      <w:r w:rsidR="00AD7169" w:rsidRPr="0E887DD2">
        <w:rPr>
          <w:rStyle w:val="normaltextrun"/>
          <w:rFonts w:asciiTheme="minorHAnsi" w:hAnsiTheme="minorHAnsi" w:cstheme="minorBidi"/>
          <w:b/>
          <w:bCs/>
        </w:rPr>
        <w:t xml:space="preserve"> promotion of</w:t>
      </w:r>
      <w:r w:rsidR="0025633C" w:rsidRPr="0E887DD2">
        <w:rPr>
          <w:rStyle w:val="normaltextrun"/>
          <w:rFonts w:asciiTheme="minorHAnsi" w:hAnsiTheme="minorHAnsi" w:cstheme="minorBidi"/>
          <w:b/>
          <w:bCs/>
        </w:rPr>
        <w:t xml:space="preserve"> training in</w:t>
      </w:r>
      <w:r w:rsidR="00AD7169" w:rsidRPr="0E887DD2">
        <w:rPr>
          <w:rStyle w:val="normaltextrun"/>
          <w:rFonts w:asciiTheme="minorHAnsi" w:hAnsiTheme="minorHAnsi" w:cstheme="minorBidi"/>
          <w:b/>
          <w:bCs/>
        </w:rPr>
        <w:t xml:space="preserve"> </w:t>
      </w:r>
      <w:r w:rsidR="00AE3D20" w:rsidRPr="0E887DD2">
        <w:rPr>
          <w:rStyle w:val="normaltextrun"/>
          <w:rFonts w:asciiTheme="minorHAnsi" w:hAnsiTheme="minorHAnsi" w:cstheme="minorBidi"/>
          <w:b/>
          <w:bCs/>
        </w:rPr>
        <w:t>effe</w:t>
      </w:r>
      <w:r w:rsidR="0025633C" w:rsidRPr="0E887DD2">
        <w:rPr>
          <w:rStyle w:val="normaltextrun"/>
          <w:rFonts w:asciiTheme="minorHAnsi" w:hAnsiTheme="minorHAnsi" w:cstheme="minorBidi"/>
          <w:b/>
          <w:bCs/>
        </w:rPr>
        <w:t xml:space="preserve">ctive decision-making </w:t>
      </w:r>
      <w:r w:rsidR="00997524" w:rsidRPr="0E887DD2">
        <w:rPr>
          <w:rStyle w:val="normaltextrun"/>
          <w:rFonts w:asciiTheme="minorHAnsi" w:hAnsiTheme="minorHAnsi" w:cstheme="minorBidi"/>
          <w:b/>
          <w:bCs/>
        </w:rPr>
        <w:t>concerning people</w:t>
      </w:r>
      <w:r w:rsidR="00137625" w:rsidRPr="0E887DD2">
        <w:rPr>
          <w:rStyle w:val="normaltextrun"/>
          <w:rFonts w:asciiTheme="minorHAnsi" w:hAnsiTheme="minorHAnsi" w:cstheme="minorBidi"/>
          <w:b/>
          <w:bCs/>
        </w:rPr>
        <w:t xml:space="preserve"> living with disabilit</w:t>
      </w:r>
      <w:r w:rsidR="002A2432" w:rsidRPr="0E887DD2">
        <w:rPr>
          <w:rStyle w:val="normaltextrun"/>
          <w:rFonts w:asciiTheme="minorHAnsi" w:hAnsiTheme="minorHAnsi" w:cstheme="minorBidi"/>
          <w:b/>
          <w:bCs/>
        </w:rPr>
        <w:t>y</w:t>
      </w:r>
      <w:r w:rsidR="00137625" w:rsidRPr="0E887DD2">
        <w:rPr>
          <w:rStyle w:val="normaltextrun"/>
          <w:rFonts w:asciiTheme="minorHAnsi" w:hAnsiTheme="minorHAnsi" w:cstheme="minorBidi"/>
          <w:b/>
          <w:bCs/>
        </w:rPr>
        <w:t>, cross-cultural communication, working with interpreters and</w:t>
      </w:r>
      <w:r w:rsidR="00962276" w:rsidRPr="0E887DD2">
        <w:rPr>
          <w:rStyle w:val="normaltextrun"/>
          <w:rFonts w:asciiTheme="minorHAnsi" w:hAnsiTheme="minorHAnsi" w:cstheme="minorBidi"/>
          <w:b/>
          <w:bCs/>
        </w:rPr>
        <w:t xml:space="preserve"> a trauma-informed practice mandatory. </w:t>
      </w:r>
      <w:r w:rsidR="003E3C5D" w:rsidRPr="0E887DD2">
        <w:rPr>
          <w:rStyle w:val="normaltextrun"/>
          <w:rFonts w:asciiTheme="minorHAnsi" w:hAnsiTheme="minorHAnsi" w:cstheme="minorBidi"/>
          <w:b/>
          <w:bCs/>
        </w:rPr>
        <w:t xml:space="preserve">The Committee should also recommend that </w:t>
      </w:r>
      <w:r w:rsidR="00872EC7" w:rsidRPr="0E887DD2">
        <w:rPr>
          <w:rStyle w:val="normaltextrun"/>
          <w:rFonts w:asciiTheme="minorHAnsi" w:hAnsiTheme="minorHAnsi" w:cstheme="minorBidi"/>
          <w:b/>
          <w:bCs/>
        </w:rPr>
        <w:t xml:space="preserve">clause 193 h) </w:t>
      </w:r>
      <w:r w:rsidR="00AE1896" w:rsidRPr="0E887DD2">
        <w:rPr>
          <w:rStyle w:val="normaltextrun"/>
          <w:rFonts w:asciiTheme="minorHAnsi" w:hAnsiTheme="minorHAnsi" w:cstheme="minorBidi"/>
          <w:b/>
          <w:bCs/>
        </w:rPr>
        <w:t xml:space="preserve">be amended to specify that any training </w:t>
      </w:r>
      <w:r w:rsidR="00824D4A" w:rsidRPr="0E887DD2">
        <w:rPr>
          <w:rStyle w:val="normaltextrun"/>
          <w:rFonts w:asciiTheme="minorHAnsi" w:hAnsiTheme="minorHAnsi" w:cstheme="minorBidi"/>
          <w:b/>
          <w:bCs/>
        </w:rPr>
        <w:t xml:space="preserve">promoted must be </w:t>
      </w:r>
      <w:r w:rsidR="00AE51A6" w:rsidRPr="0E887DD2">
        <w:rPr>
          <w:rStyle w:val="normaltextrun"/>
          <w:rFonts w:asciiTheme="minorHAnsi" w:hAnsiTheme="minorHAnsi" w:cstheme="minorBidi"/>
          <w:b/>
          <w:bCs/>
        </w:rPr>
        <w:t xml:space="preserve">genuinely </w:t>
      </w:r>
      <w:r w:rsidR="00824D4A" w:rsidRPr="0E887DD2">
        <w:rPr>
          <w:rStyle w:val="normaltextrun"/>
          <w:rFonts w:asciiTheme="minorHAnsi" w:hAnsiTheme="minorHAnsi" w:cstheme="minorBidi"/>
          <w:b/>
          <w:bCs/>
        </w:rPr>
        <w:t>co-designed with the</w:t>
      </w:r>
      <w:r w:rsidR="00FB1A16" w:rsidRPr="0E887DD2">
        <w:rPr>
          <w:rStyle w:val="normaltextrun"/>
          <w:rFonts w:asciiTheme="minorHAnsi" w:hAnsiTheme="minorHAnsi" w:cstheme="minorBidi"/>
          <w:b/>
          <w:bCs/>
        </w:rPr>
        <w:t xml:space="preserve"> </w:t>
      </w:r>
      <w:r w:rsidR="004615D9" w:rsidRPr="0E887DD2">
        <w:rPr>
          <w:rStyle w:val="normaltextrun"/>
          <w:rFonts w:asciiTheme="minorHAnsi" w:hAnsiTheme="minorHAnsi" w:cstheme="minorBidi"/>
          <w:b/>
          <w:bCs/>
        </w:rPr>
        <w:t xml:space="preserve">relevant lived experience community. </w:t>
      </w:r>
      <w:r w:rsidR="00997524" w:rsidRPr="0E887DD2">
        <w:rPr>
          <w:rStyle w:val="normaltextrun"/>
          <w:rFonts w:asciiTheme="minorHAnsi" w:hAnsiTheme="minorHAnsi" w:cstheme="minorBidi"/>
          <w:b/>
          <w:bCs/>
        </w:rPr>
        <w:t xml:space="preserve"> </w:t>
      </w:r>
    </w:p>
    <w:p w14:paraId="2C4C78A9" w14:textId="0E5D749E" w:rsidR="000253A0" w:rsidRPr="003E6EEA" w:rsidRDefault="000E437B" w:rsidP="0E887DD2">
      <w:pPr>
        <w:pStyle w:val="Heading2"/>
        <w:keepNext w:val="0"/>
        <w:keepLines w:val="0"/>
        <w:spacing w:line="360" w:lineRule="auto"/>
        <w:rPr>
          <w:color w:val="7030A0"/>
        </w:rPr>
      </w:pPr>
      <w:bookmarkStart w:id="6" w:name="_Toc156546020"/>
      <w:r>
        <w:rPr>
          <w:color w:val="7030A0"/>
        </w:rPr>
        <w:t xml:space="preserve">4.3 </w:t>
      </w:r>
      <w:r w:rsidR="000253A0" w:rsidRPr="2C561418">
        <w:rPr>
          <w:color w:val="7030A0"/>
        </w:rPr>
        <w:t>Administrative Review Council’s Training and Education Function</w:t>
      </w:r>
      <w:bookmarkEnd w:id="6"/>
    </w:p>
    <w:p w14:paraId="79ED8ADD" w14:textId="559A945C" w:rsidR="00DC446C" w:rsidRPr="00146C13" w:rsidRDefault="001F46D6" w:rsidP="0E887DD2">
      <w:pPr>
        <w:pStyle w:val="Default"/>
        <w:spacing w:line="360" w:lineRule="auto"/>
        <w:rPr>
          <w:rFonts w:asciiTheme="minorHAnsi" w:hAnsiTheme="minorHAnsi" w:cstheme="minorBidi"/>
        </w:rPr>
      </w:pPr>
      <w:r w:rsidRPr="0E887DD2">
        <w:rPr>
          <w:rFonts w:asciiTheme="minorHAnsi" w:hAnsiTheme="minorHAnsi" w:cstheme="minorBidi"/>
        </w:rPr>
        <w:t>Educational</w:t>
      </w:r>
      <w:r w:rsidR="00470488" w:rsidRPr="0E887DD2">
        <w:rPr>
          <w:rFonts w:asciiTheme="minorHAnsi" w:hAnsiTheme="minorHAnsi" w:cstheme="minorBidi"/>
        </w:rPr>
        <w:t xml:space="preserve"> and training materials </w:t>
      </w:r>
      <w:r w:rsidR="00A83644" w:rsidRPr="0E887DD2">
        <w:rPr>
          <w:rFonts w:asciiTheme="minorHAnsi" w:hAnsiTheme="minorHAnsi" w:cstheme="minorBidi"/>
        </w:rPr>
        <w:t>supported</w:t>
      </w:r>
      <w:r w:rsidR="00470488" w:rsidRPr="0E887DD2">
        <w:rPr>
          <w:rFonts w:asciiTheme="minorHAnsi" w:hAnsiTheme="minorHAnsi" w:cstheme="minorBidi"/>
        </w:rPr>
        <w:t xml:space="preserve"> by the </w:t>
      </w:r>
      <w:r w:rsidR="008A3FFE" w:rsidRPr="0E887DD2">
        <w:rPr>
          <w:rFonts w:asciiTheme="minorHAnsi" w:hAnsiTheme="minorHAnsi" w:cstheme="minorBidi"/>
        </w:rPr>
        <w:t>A</w:t>
      </w:r>
      <w:r w:rsidR="005B04CC" w:rsidRPr="0E887DD2">
        <w:rPr>
          <w:rFonts w:asciiTheme="minorHAnsi" w:hAnsiTheme="minorHAnsi" w:cstheme="minorBidi"/>
        </w:rPr>
        <w:t xml:space="preserve">dministrative Review Council under </w:t>
      </w:r>
      <w:r w:rsidR="0082495B" w:rsidRPr="0E887DD2">
        <w:rPr>
          <w:rFonts w:asciiTheme="minorHAnsi" w:hAnsiTheme="minorHAnsi" w:cstheme="minorBidi"/>
        </w:rPr>
        <w:t>clause</w:t>
      </w:r>
      <w:r w:rsidR="005B04CC" w:rsidRPr="0E887DD2">
        <w:rPr>
          <w:rFonts w:asciiTheme="minorHAnsi" w:hAnsiTheme="minorHAnsi" w:cstheme="minorBidi"/>
        </w:rPr>
        <w:t xml:space="preserve"> 249</w:t>
      </w:r>
      <w:r w:rsidR="000952DF" w:rsidRPr="0E887DD2">
        <w:rPr>
          <w:rFonts w:asciiTheme="minorHAnsi" w:hAnsiTheme="minorHAnsi" w:cstheme="minorBidi"/>
        </w:rPr>
        <w:t xml:space="preserve"> f) should be </w:t>
      </w:r>
      <w:r w:rsidR="00744275" w:rsidRPr="0E887DD2">
        <w:rPr>
          <w:rFonts w:asciiTheme="minorHAnsi" w:hAnsiTheme="minorHAnsi" w:cstheme="minorBidi"/>
        </w:rPr>
        <w:t xml:space="preserve">genuinely </w:t>
      </w:r>
      <w:r w:rsidR="000952DF" w:rsidRPr="0E887DD2">
        <w:rPr>
          <w:rFonts w:asciiTheme="minorHAnsi" w:hAnsiTheme="minorHAnsi" w:cstheme="minorBidi"/>
        </w:rPr>
        <w:t>co-designed</w:t>
      </w:r>
      <w:r w:rsidR="00272DE8" w:rsidRPr="0E887DD2">
        <w:rPr>
          <w:rFonts w:asciiTheme="minorHAnsi" w:hAnsiTheme="minorHAnsi" w:cstheme="minorBidi"/>
        </w:rPr>
        <w:t xml:space="preserve">. </w:t>
      </w:r>
      <w:r w:rsidR="00DC446C" w:rsidRPr="0E887DD2">
        <w:rPr>
          <w:rFonts w:asciiTheme="minorHAnsi" w:hAnsiTheme="minorHAnsi" w:cstheme="minorBidi"/>
        </w:rPr>
        <w:t xml:space="preserve">We are concerned many of the processes that governments </w:t>
      </w:r>
      <w:r w:rsidR="00B80793" w:rsidRPr="0E887DD2">
        <w:rPr>
          <w:rFonts w:asciiTheme="minorHAnsi" w:hAnsiTheme="minorHAnsi" w:cstheme="minorBidi"/>
        </w:rPr>
        <w:t xml:space="preserve">and others </w:t>
      </w:r>
      <w:r w:rsidR="00DC446C" w:rsidRPr="0E887DD2">
        <w:rPr>
          <w:rFonts w:asciiTheme="minorHAnsi" w:hAnsiTheme="minorHAnsi" w:cstheme="minorBidi"/>
        </w:rPr>
        <w:t xml:space="preserve">are currently referring to as co-design fall well short of best practice and do not include the active involvement of people living with disability in decision-making processes. We encourage the </w:t>
      </w:r>
      <w:r w:rsidR="000733E7" w:rsidRPr="0E887DD2">
        <w:rPr>
          <w:rFonts w:asciiTheme="minorHAnsi" w:hAnsiTheme="minorHAnsi" w:cstheme="minorBidi"/>
        </w:rPr>
        <w:t>Committee</w:t>
      </w:r>
      <w:r w:rsidR="00DC446C" w:rsidRPr="0E887DD2">
        <w:rPr>
          <w:rFonts w:asciiTheme="minorHAnsi" w:hAnsiTheme="minorHAnsi" w:cstheme="minorBidi"/>
        </w:rPr>
        <w:t xml:space="preserve"> to access our Guide to Co-Design with People Living with Disability, which was itself co-designed, via our </w:t>
      </w:r>
      <w:hyperlink r:id="rId13">
        <w:r w:rsidR="00DC446C" w:rsidRPr="0E887DD2">
          <w:rPr>
            <w:rStyle w:val="Hyperlink"/>
            <w:rFonts w:asciiTheme="minorHAnsi" w:hAnsiTheme="minorHAnsi" w:cstheme="minorBidi"/>
          </w:rPr>
          <w:t>website.</w:t>
        </w:r>
      </w:hyperlink>
      <w:r w:rsidR="00DC446C" w:rsidRPr="0E887DD2">
        <w:rPr>
          <w:rFonts w:asciiTheme="minorHAnsi" w:hAnsiTheme="minorHAnsi" w:cstheme="minorBidi"/>
        </w:rPr>
        <w:t xml:space="preserve"> Our Guide </w:t>
      </w:r>
      <w:r w:rsidR="00DC446C" w:rsidRPr="0E887DD2">
        <w:rPr>
          <w:rFonts w:asciiTheme="minorHAnsi" w:hAnsiTheme="minorHAnsi" w:cstheme="minorBidi"/>
        </w:rPr>
        <w:lastRenderedPageBreak/>
        <w:t xml:space="preserve">to Co-Design can provide substantial guidance on how the </w:t>
      </w:r>
      <w:r w:rsidR="000733E7" w:rsidRPr="0E887DD2">
        <w:rPr>
          <w:rFonts w:asciiTheme="minorHAnsi" w:hAnsiTheme="minorHAnsi" w:cstheme="minorBidi"/>
        </w:rPr>
        <w:t>Bill</w:t>
      </w:r>
      <w:r w:rsidR="00DC446C" w:rsidRPr="0E887DD2">
        <w:rPr>
          <w:rFonts w:asciiTheme="minorHAnsi" w:hAnsiTheme="minorHAnsi" w:cstheme="minorBidi"/>
        </w:rPr>
        <w:t xml:space="preserve"> can integrate co-design into the creation of educational materials and training courses.  </w:t>
      </w:r>
    </w:p>
    <w:p w14:paraId="7C83A16B" w14:textId="62870B5E" w:rsidR="00BA3928" w:rsidRPr="00162FF8" w:rsidRDefault="00257B44" w:rsidP="0E887DD2">
      <w:pPr>
        <w:spacing w:line="360" w:lineRule="auto"/>
        <w:rPr>
          <w:rStyle w:val="normaltextrun"/>
          <w:sz w:val="24"/>
          <w:szCs w:val="24"/>
          <w:lang w:val="en-US"/>
        </w:rPr>
      </w:pPr>
      <w:r w:rsidRPr="00162FF8">
        <w:rPr>
          <w:rStyle w:val="normaltextrun"/>
          <w:b/>
          <w:bCs/>
          <w:color w:val="522E91"/>
          <w:sz w:val="24"/>
          <w:szCs w:val="24"/>
        </w:rPr>
        <w:t xml:space="preserve">Recommendation </w:t>
      </w:r>
      <w:r w:rsidR="007D01AC" w:rsidRPr="00162FF8">
        <w:rPr>
          <w:rStyle w:val="normaltextrun"/>
          <w:b/>
          <w:bCs/>
          <w:color w:val="522E91"/>
          <w:sz w:val="24"/>
          <w:szCs w:val="24"/>
        </w:rPr>
        <w:t>4</w:t>
      </w:r>
      <w:r w:rsidRPr="00162FF8">
        <w:rPr>
          <w:rStyle w:val="normaltextrun"/>
          <w:b/>
          <w:bCs/>
          <w:color w:val="522E91"/>
          <w:sz w:val="24"/>
          <w:szCs w:val="24"/>
        </w:rPr>
        <w:t>:</w:t>
      </w:r>
      <w:r w:rsidRPr="00162FF8">
        <w:rPr>
          <w:rStyle w:val="normaltextrun"/>
          <w:b/>
          <w:bCs/>
          <w:color w:val="7030A0"/>
          <w:sz w:val="24"/>
          <w:szCs w:val="24"/>
        </w:rPr>
        <w:t> </w:t>
      </w:r>
      <w:r w:rsidRPr="00162FF8">
        <w:rPr>
          <w:rStyle w:val="normaltextrun"/>
          <w:b/>
          <w:bCs/>
          <w:sz w:val="24"/>
          <w:szCs w:val="24"/>
        </w:rPr>
        <w:t xml:space="preserve">The Committee </w:t>
      </w:r>
      <w:r w:rsidR="00B80793" w:rsidRPr="00162FF8">
        <w:rPr>
          <w:rStyle w:val="normaltextrun"/>
          <w:b/>
          <w:bCs/>
          <w:sz w:val="24"/>
          <w:szCs w:val="24"/>
        </w:rPr>
        <w:t xml:space="preserve">should </w:t>
      </w:r>
      <w:r w:rsidRPr="00162FF8">
        <w:rPr>
          <w:rStyle w:val="normaltextrun"/>
          <w:b/>
          <w:bCs/>
          <w:sz w:val="24"/>
          <w:szCs w:val="24"/>
        </w:rPr>
        <w:t xml:space="preserve">recommend clause </w:t>
      </w:r>
      <w:r w:rsidR="00AE487E" w:rsidRPr="00162FF8">
        <w:rPr>
          <w:rStyle w:val="normaltextrun"/>
          <w:b/>
          <w:bCs/>
          <w:sz w:val="24"/>
          <w:szCs w:val="24"/>
        </w:rPr>
        <w:t>24</w:t>
      </w:r>
      <w:r w:rsidRPr="00162FF8">
        <w:rPr>
          <w:rStyle w:val="normaltextrun"/>
          <w:b/>
          <w:bCs/>
          <w:sz w:val="24"/>
          <w:szCs w:val="24"/>
        </w:rPr>
        <w:t xml:space="preserve">9 </w:t>
      </w:r>
      <w:r w:rsidR="00AE487E" w:rsidRPr="00162FF8">
        <w:rPr>
          <w:rStyle w:val="normaltextrun"/>
          <w:b/>
          <w:bCs/>
          <w:sz w:val="24"/>
          <w:szCs w:val="24"/>
        </w:rPr>
        <w:t>f</w:t>
      </w:r>
      <w:r w:rsidRPr="00162FF8">
        <w:rPr>
          <w:rStyle w:val="normaltextrun"/>
          <w:b/>
          <w:bCs/>
          <w:sz w:val="24"/>
          <w:szCs w:val="24"/>
        </w:rPr>
        <w:t>) of the Administrative Review Tribunal Bill 2023 be amended</w:t>
      </w:r>
      <w:r w:rsidR="00DC4806" w:rsidRPr="00162FF8">
        <w:rPr>
          <w:rStyle w:val="normaltextrun"/>
          <w:b/>
          <w:bCs/>
          <w:sz w:val="24"/>
          <w:szCs w:val="24"/>
        </w:rPr>
        <w:t xml:space="preserve"> to specify that educational and training mat</w:t>
      </w:r>
      <w:r w:rsidR="005232B8" w:rsidRPr="00162FF8">
        <w:rPr>
          <w:rStyle w:val="normaltextrun"/>
          <w:b/>
          <w:bCs/>
          <w:sz w:val="24"/>
          <w:szCs w:val="24"/>
        </w:rPr>
        <w:t>erials supported by the Admin</w:t>
      </w:r>
      <w:r w:rsidR="00AE51A6" w:rsidRPr="00162FF8">
        <w:rPr>
          <w:rStyle w:val="normaltextrun"/>
          <w:b/>
          <w:bCs/>
          <w:sz w:val="24"/>
          <w:szCs w:val="24"/>
        </w:rPr>
        <w:t>istrative Review Council</w:t>
      </w:r>
      <w:r w:rsidR="008B7FC9" w:rsidRPr="00162FF8">
        <w:rPr>
          <w:rStyle w:val="normaltextrun"/>
          <w:b/>
          <w:bCs/>
          <w:sz w:val="24"/>
          <w:szCs w:val="24"/>
        </w:rPr>
        <w:t xml:space="preserve"> be genuinely co-designed with the relevant lived experience community. </w:t>
      </w:r>
    </w:p>
    <w:p w14:paraId="43768511" w14:textId="77777777" w:rsidR="007D6B46" w:rsidRDefault="007D6B46" w:rsidP="2C561418">
      <w:pPr>
        <w:pStyle w:val="Heading1"/>
        <w:keepNext w:val="0"/>
        <w:keepLines w:val="0"/>
        <w:spacing w:line="360" w:lineRule="auto"/>
        <w:rPr>
          <w:rStyle w:val="normaltextrun"/>
          <w:rFonts w:cstheme="minorBidi"/>
          <w:color w:val="522E91"/>
          <w:shd w:val="clear" w:color="auto" w:fill="FFFFFF"/>
        </w:rPr>
      </w:pPr>
    </w:p>
    <w:p w14:paraId="672C2EF7" w14:textId="24784B71" w:rsidR="00BA3928" w:rsidRPr="00162FF8" w:rsidRDefault="007D6B46" w:rsidP="2C561418">
      <w:pPr>
        <w:pStyle w:val="Heading1"/>
        <w:keepNext w:val="0"/>
        <w:keepLines w:val="0"/>
        <w:spacing w:line="360" w:lineRule="auto"/>
        <w:rPr>
          <w:rStyle w:val="normaltextrun"/>
          <w:rFonts w:cstheme="minorBidi"/>
          <w:color w:val="522E91"/>
          <w:sz w:val="28"/>
          <w:szCs w:val="28"/>
          <w:shd w:val="clear" w:color="auto" w:fill="FFFFFF"/>
        </w:rPr>
      </w:pPr>
      <w:bookmarkStart w:id="7" w:name="_Toc156546021"/>
      <w:r w:rsidRPr="00162FF8">
        <w:rPr>
          <w:rStyle w:val="normaltextrun"/>
          <w:rFonts w:cstheme="minorBidi"/>
          <w:color w:val="522E91"/>
          <w:sz w:val="28"/>
          <w:szCs w:val="28"/>
          <w:shd w:val="clear" w:color="auto" w:fill="FFFFFF"/>
        </w:rPr>
        <w:t xml:space="preserve">5. </w:t>
      </w:r>
      <w:r w:rsidR="00BA3928" w:rsidRPr="00162FF8">
        <w:rPr>
          <w:rStyle w:val="normaltextrun"/>
          <w:rFonts w:cstheme="minorBidi"/>
          <w:color w:val="522E91"/>
          <w:sz w:val="28"/>
          <w:szCs w:val="28"/>
          <w:shd w:val="clear" w:color="auto" w:fill="FFFFFF"/>
        </w:rPr>
        <w:t xml:space="preserve">Tribunal Member </w:t>
      </w:r>
      <w:r w:rsidR="003C1EDA" w:rsidRPr="00162FF8">
        <w:rPr>
          <w:rStyle w:val="normaltextrun"/>
          <w:rFonts w:cstheme="minorBidi"/>
          <w:color w:val="522E91"/>
          <w:sz w:val="28"/>
          <w:szCs w:val="28"/>
          <w:shd w:val="clear" w:color="auto" w:fill="FFFFFF"/>
        </w:rPr>
        <w:t>Targets</w:t>
      </w:r>
      <w:bookmarkEnd w:id="7"/>
    </w:p>
    <w:p w14:paraId="049AA599" w14:textId="286B1B61" w:rsidR="001B4CA8" w:rsidRPr="00146C13" w:rsidRDefault="009B785B" w:rsidP="0E887DD2">
      <w:pPr>
        <w:spacing w:line="360" w:lineRule="auto"/>
        <w:rPr>
          <w:sz w:val="24"/>
          <w:szCs w:val="24"/>
        </w:rPr>
      </w:pPr>
      <w:r w:rsidRPr="0E887DD2">
        <w:rPr>
          <w:sz w:val="24"/>
          <w:szCs w:val="24"/>
          <w:lang w:val="en-US"/>
        </w:rPr>
        <w:t xml:space="preserve">In Volume 7 Part B of the Disability Royal Commission’s </w:t>
      </w:r>
      <w:r w:rsidR="00B0402B" w:rsidRPr="0E887DD2">
        <w:rPr>
          <w:sz w:val="24"/>
          <w:szCs w:val="24"/>
          <w:lang w:val="en-US"/>
        </w:rPr>
        <w:t>Final Report</w:t>
      </w:r>
      <w:r w:rsidR="009C17C2" w:rsidRPr="0E887DD2">
        <w:rPr>
          <w:rStyle w:val="FootnoteReference"/>
          <w:sz w:val="24"/>
          <w:szCs w:val="24"/>
          <w:lang w:val="en-US"/>
        </w:rPr>
        <w:footnoteReference w:id="6"/>
      </w:r>
      <w:r w:rsidR="00B0402B" w:rsidRPr="0E887DD2">
        <w:rPr>
          <w:sz w:val="24"/>
          <w:szCs w:val="24"/>
          <w:lang w:val="en-US"/>
        </w:rPr>
        <w:t xml:space="preserve">, </w:t>
      </w:r>
      <w:r w:rsidR="00C2184D" w:rsidRPr="0E887DD2">
        <w:rPr>
          <w:sz w:val="24"/>
          <w:szCs w:val="24"/>
          <w:lang w:val="en-US"/>
        </w:rPr>
        <w:t xml:space="preserve">the Commission identified </w:t>
      </w:r>
      <w:r w:rsidR="00D65160" w:rsidRPr="0E887DD2">
        <w:rPr>
          <w:sz w:val="24"/>
          <w:szCs w:val="24"/>
          <w:lang w:val="en-US"/>
        </w:rPr>
        <w:t xml:space="preserve">that “[t]here </w:t>
      </w:r>
      <w:r w:rsidR="00D65160" w:rsidRPr="0E887DD2">
        <w:rPr>
          <w:sz w:val="24"/>
          <w:szCs w:val="24"/>
        </w:rPr>
        <w:t>should be a determined focus on increasing opportunities for people with disability in public sector employment across Australia</w:t>
      </w:r>
      <w:r w:rsidR="000B375C" w:rsidRPr="0E887DD2">
        <w:rPr>
          <w:sz w:val="24"/>
          <w:szCs w:val="24"/>
        </w:rPr>
        <w:t>.</w:t>
      </w:r>
      <w:r w:rsidR="0079327A" w:rsidRPr="0E887DD2">
        <w:rPr>
          <w:sz w:val="24"/>
          <w:szCs w:val="24"/>
        </w:rPr>
        <w:t>”</w:t>
      </w:r>
      <w:r w:rsidR="001107FB" w:rsidRPr="0E887DD2">
        <w:rPr>
          <w:rStyle w:val="FootnoteReference"/>
          <w:sz w:val="24"/>
          <w:szCs w:val="24"/>
        </w:rPr>
        <w:footnoteReference w:id="7"/>
      </w:r>
      <w:r w:rsidR="000B375C" w:rsidRPr="0E887DD2">
        <w:rPr>
          <w:sz w:val="24"/>
          <w:szCs w:val="24"/>
        </w:rPr>
        <w:t xml:space="preserve"> This aligns with article 27</w:t>
      </w:r>
      <w:r w:rsidR="00FA2E22" w:rsidRPr="0E887DD2">
        <w:rPr>
          <w:sz w:val="24"/>
          <w:szCs w:val="24"/>
        </w:rPr>
        <w:t xml:space="preserve"> </w:t>
      </w:r>
      <w:r w:rsidR="00077A58" w:rsidRPr="0E887DD2">
        <w:rPr>
          <w:sz w:val="24"/>
          <w:szCs w:val="24"/>
        </w:rPr>
        <w:t>(</w:t>
      </w:r>
      <w:r w:rsidR="00FA2E22" w:rsidRPr="0E887DD2">
        <w:rPr>
          <w:sz w:val="24"/>
          <w:szCs w:val="24"/>
        </w:rPr>
        <w:t>g)</w:t>
      </w:r>
      <w:r w:rsidR="000B375C" w:rsidRPr="0E887DD2">
        <w:rPr>
          <w:sz w:val="24"/>
          <w:szCs w:val="24"/>
        </w:rPr>
        <w:t xml:space="preserve"> of the </w:t>
      </w:r>
      <w:r w:rsidR="000B375C" w:rsidRPr="0E887DD2">
        <w:rPr>
          <w:i/>
          <w:iCs/>
          <w:sz w:val="24"/>
          <w:szCs w:val="24"/>
        </w:rPr>
        <w:t>UNCR</w:t>
      </w:r>
      <w:r w:rsidR="00AA4702" w:rsidRPr="0E887DD2">
        <w:rPr>
          <w:i/>
          <w:iCs/>
          <w:sz w:val="24"/>
          <w:szCs w:val="24"/>
        </w:rPr>
        <w:t>P</w:t>
      </w:r>
      <w:r w:rsidR="001E227C" w:rsidRPr="0E887DD2">
        <w:rPr>
          <w:i/>
          <w:iCs/>
          <w:sz w:val="24"/>
          <w:szCs w:val="24"/>
        </w:rPr>
        <w:t>D</w:t>
      </w:r>
      <w:r w:rsidR="00AA4702" w:rsidRPr="0E887DD2">
        <w:rPr>
          <w:i/>
          <w:iCs/>
          <w:sz w:val="24"/>
          <w:szCs w:val="24"/>
        </w:rPr>
        <w:t xml:space="preserve"> </w:t>
      </w:r>
      <w:r w:rsidR="00063555" w:rsidRPr="0E887DD2">
        <w:rPr>
          <w:sz w:val="24"/>
          <w:szCs w:val="24"/>
        </w:rPr>
        <w:t>that</w:t>
      </w:r>
      <w:r w:rsidR="00156216" w:rsidRPr="0E887DD2">
        <w:rPr>
          <w:sz w:val="24"/>
          <w:szCs w:val="24"/>
        </w:rPr>
        <w:t xml:space="preserve">, in listing steps that party States should take, includes </w:t>
      </w:r>
      <w:r w:rsidR="00FB10D8" w:rsidRPr="0E887DD2">
        <w:rPr>
          <w:sz w:val="24"/>
          <w:szCs w:val="24"/>
        </w:rPr>
        <w:t>to</w:t>
      </w:r>
      <w:r w:rsidR="00EF1F54" w:rsidRPr="0E887DD2">
        <w:rPr>
          <w:sz w:val="24"/>
          <w:szCs w:val="24"/>
        </w:rPr>
        <w:t xml:space="preserve"> “</w:t>
      </w:r>
      <w:r w:rsidR="00077A58" w:rsidRPr="0E887DD2">
        <w:rPr>
          <w:sz w:val="24"/>
          <w:szCs w:val="24"/>
        </w:rPr>
        <w:t>[e]</w:t>
      </w:r>
      <w:proofErr w:type="spellStart"/>
      <w:r w:rsidR="00077A58" w:rsidRPr="0E887DD2">
        <w:rPr>
          <w:sz w:val="24"/>
          <w:szCs w:val="24"/>
        </w:rPr>
        <w:t>mploy</w:t>
      </w:r>
      <w:proofErr w:type="spellEnd"/>
      <w:r w:rsidR="00077A58" w:rsidRPr="0E887DD2">
        <w:rPr>
          <w:sz w:val="24"/>
          <w:szCs w:val="24"/>
        </w:rPr>
        <w:t xml:space="preserve"> </w:t>
      </w:r>
      <w:r w:rsidR="73E83D60" w:rsidRPr="0E887DD2">
        <w:rPr>
          <w:sz w:val="24"/>
          <w:szCs w:val="24"/>
        </w:rPr>
        <w:t>People</w:t>
      </w:r>
      <w:r w:rsidR="00077A58" w:rsidRPr="0E887DD2">
        <w:rPr>
          <w:sz w:val="24"/>
          <w:szCs w:val="24"/>
        </w:rPr>
        <w:t xml:space="preserve"> with disabilities in the public sector</w:t>
      </w:r>
      <w:r w:rsidR="00EF1F54" w:rsidRPr="0E887DD2">
        <w:rPr>
          <w:sz w:val="24"/>
          <w:szCs w:val="24"/>
        </w:rPr>
        <w:t>”.</w:t>
      </w:r>
      <w:r w:rsidR="00C14DEA" w:rsidRPr="0E887DD2">
        <w:rPr>
          <w:sz w:val="24"/>
          <w:szCs w:val="24"/>
        </w:rPr>
        <w:t xml:space="preserve"> </w:t>
      </w:r>
      <w:r w:rsidR="006F1229" w:rsidRPr="0E887DD2">
        <w:rPr>
          <w:sz w:val="24"/>
          <w:szCs w:val="24"/>
        </w:rPr>
        <w:t xml:space="preserve">Given the status and centrality of the AAT, and the new ART, </w:t>
      </w:r>
      <w:r w:rsidR="00D10778" w:rsidRPr="0E887DD2">
        <w:rPr>
          <w:sz w:val="24"/>
          <w:szCs w:val="24"/>
        </w:rPr>
        <w:t xml:space="preserve">within </w:t>
      </w:r>
      <w:r w:rsidR="002E4DE9" w:rsidRPr="0E887DD2">
        <w:rPr>
          <w:sz w:val="24"/>
          <w:szCs w:val="24"/>
        </w:rPr>
        <w:t>our nation</w:t>
      </w:r>
      <w:r w:rsidR="004F4949" w:rsidRPr="0E887DD2">
        <w:rPr>
          <w:sz w:val="24"/>
          <w:szCs w:val="24"/>
        </w:rPr>
        <w:t xml:space="preserve">al legal framework, and in determining the life chances of people living with disability, </w:t>
      </w:r>
      <w:r w:rsidR="00967184" w:rsidRPr="0E887DD2">
        <w:rPr>
          <w:sz w:val="24"/>
          <w:szCs w:val="24"/>
        </w:rPr>
        <w:t xml:space="preserve">the Tribunal </w:t>
      </w:r>
      <w:r w:rsidR="00DB30BF" w:rsidRPr="0E887DD2">
        <w:rPr>
          <w:sz w:val="24"/>
          <w:szCs w:val="24"/>
        </w:rPr>
        <w:t xml:space="preserve">would be </w:t>
      </w:r>
      <w:r w:rsidR="00FE3BD1" w:rsidRPr="0E887DD2">
        <w:rPr>
          <w:sz w:val="24"/>
          <w:szCs w:val="24"/>
        </w:rPr>
        <w:t>better</w:t>
      </w:r>
      <w:r w:rsidR="00DB30BF" w:rsidRPr="0E887DD2">
        <w:rPr>
          <w:sz w:val="24"/>
          <w:szCs w:val="24"/>
        </w:rPr>
        <w:t xml:space="preserve"> served by employing </w:t>
      </w:r>
      <w:r w:rsidR="0012027E" w:rsidRPr="0E887DD2">
        <w:rPr>
          <w:sz w:val="24"/>
          <w:szCs w:val="24"/>
        </w:rPr>
        <w:t>a diverse workforce</w:t>
      </w:r>
      <w:r w:rsidR="00FE3BD1" w:rsidRPr="0E887DD2">
        <w:rPr>
          <w:sz w:val="24"/>
          <w:szCs w:val="24"/>
        </w:rPr>
        <w:t xml:space="preserve"> that is representative of the Australian community</w:t>
      </w:r>
      <w:r w:rsidR="00DF3072" w:rsidRPr="0E887DD2">
        <w:rPr>
          <w:sz w:val="24"/>
          <w:szCs w:val="24"/>
        </w:rPr>
        <w:t>. The Tribunal would also become</w:t>
      </w:r>
      <w:r w:rsidR="004B2E48" w:rsidRPr="0E887DD2">
        <w:rPr>
          <w:sz w:val="24"/>
          <w:szCs w:val="24"/>
        </w:rPr>
        <w:t xml:space="preserve"> a beacon</w:t>
      </w:r>
      <w:r w:rsidR="00E74DA5" w:rsidRPr="0E887DD2">
        <w:rPr>
          <w:sz w:val="24"/>
          <w:szCs w:val="24"/>
        </w:rPr>
        <w:t xml:space="preserve"> for all those who </w:t>
      </w:r>
      <w:r w:rsidR="00E75161" w:rsidRPr="0E887DD2">
        <w:rPr>
          <w:sz w:val="24"/>
          <w:szCs w:val="24"/>
        </w:rPr>
        <w:t xml:space="preserve">currently </w:t>
      </w:r>
      <w:r w:rsidR="00BB72AD" w:rsidRPr="0E887DD2">
        <w:rPr>
          <w:sz w:val="24"/>
          <w:szCs w:val="24"/>
        </w:rPr>
        <w:t xml:space="preserve">feel they </w:t>
      </w:r>
      <w:r w:rsidR="00E74DA5" w:rsidRPr="0E887DD2">
        <w:rPr>
          <w:sz w:val="24"/>
          <w:szCs w:val="24"/>
        </w:rPr>
        <w:t xml:space="preserve">can’t be what they can’t see. </w:t>
      </w:r>
      <w:r w:rsidR="0012027E" w:rsidRPr="0E887DD2">
        <w:rPr>
          <w:sz w:val="24"/>
          <w:szCs w:val="24"/>
        </w:rPr>
        <w:t xml:space="preserve"> </w:t>
      </w:r>
    </w:p>
    <w:p w14:paraId="760FF2F7" w14:textId="28A11432" w:rsidR="00F85A78" w:rsidRPr="00146C13" w:rsidRDefault="003C1EDA" w:rsidP="0E887DD2">
      <w:pPr>
        <w:spacing w:line="360" w:lineRule="auto"/>
        <w:rPr>
          <w:sz w:val="24"/>
          <w:szCs w:val="24"/>
        </w:rPr>
      </w:pPr>
      <w:r w:rsidRPr="0E887DD2">
        <w:rPr>
          <w:sz w:val="24"/>
          <w:szCs w:val="24"/>
        </w:rPr>
        <w:t xml:space="preserve">While the Bill does </w:t>
      </w:r>
      <w:r w:rsidR="00E85FA0" w:rsidRPr="0E887DD2">
        <w:rPr>
          <w:sz w:val="24"/>
          <w:szCs w:val="24"/>
        </w:rPr>
        <w:t xml:space="preserve">obliquely promote the employment of people living with disability, to an extent, in clause 4, when </w:t>
      </w:r>
      <w:r w:rsidR="006076F4" w:rsidRPr="0E887DD2">
        <w:rPr>
          <w:sz w:val="24"/>
          <w:szCs w:val="24"/>
        </w:rPr>
        <w:t>specifying that</w:t>
      </w:r>
      <w:r w:rsidR="00E55010" w:rsidRPr="0E887DD2">
        <w:rPr>
          <w:sz w:val="24"/>
          <w:szCs w:val="24"/>
        </w:rPr>
        <w:t xml:space="preserve"> merit-based</w:t>
      </w:r>
      <w:r w:rsidR="00D94513" w:rsidRPr="0E887DD2">
        <w:rPr>
          <w:sz w:val="24"/>
          <w:szCs w:val="24"/>
        </w:rPr>
        <w:t xml:space="preserve"> appointments</w:t>
      </w:r>
      <w:r w:rsidR="00E55010" w:rsidRPr="0E887DD2">
        <w:rPr>
          <w:sz w:val="24"/>
          <w:szCs w:val="24"/>
        </w:rPr>
        <w:t xml:space="preserve"> include</w:t>
      </w:r>
      <w:r w:rsidR="006076F4" w:rsidRPr="0E887DD2">
        <w:rPr>
          <w:sz w:val="24"/>
          <w:szCs w:val="24"/>
        </w:rPr>
        <w:t>s</w:t>
      </w:r>
      <w:r w:rsidR="00E55010" w:rsidRPr="0E887DD2">
        <w:rPr>
          <w:sz w:val="24"/>
          <w:szCs w:val="24"/>
        </w:rPr>
        <w:t xml:space="preserve"> </w:t>
      </w:r>
      <w:proofErr w:type="gramStart"/>
      <w:r w:rsidR="00E44989" w:rsidRPr="0E887DD2">
        <w:rPr>
          <w:sz w:val="24"/>
          <w:szCs w:val="24"/>
        </w:rPr>
        <w:t>taking into account</w:t>
      </w:r>
      <w:proofErr w:type="gramEnd"/>
      <w:r w:rsidR="00E44989" w:rsidRPr="0E887DD2">
        <w:rPr>
          <w:sz w:val="24"/>
          <w:szCs w:val="24"/>
        </w:rPr>
        <w:t xml:space="preserve"> “the need for a diversity of</w:t>
      </w:r>
      <w:r w:rsidR="0086132F" w:rsidRPr="0E887DD2">
        <w:rPr>
          <w:sz w:val="24"/>
          <w:szCs w:val="24"/>
        </w:rPr>
        <w:t>…lived experience…within the Tribunal”, this provision</w:t>
      </w:r>
      <w:r w:rsidR="00204148" w:rsidRPr="0E887DD2">
        <w:rPr>
          <w:sz w:val="24"/>
          <w:szCs w:val="24"/>
        </w:rPr>
        <w:t xml:space="preserve"> alone</w:t>
      </w:r>
      <w:r w:rsidR="0086132F" w:rsidRPr="0E887DD2">
        <w:rPr>
          <w:sz w:val="24"/>
          <w:szCs w:val="24"/>
        </w:rPr>
        <w:t xml:space="preserve"> is unlikely</w:t>
      </w:r>
      <w:r w:rsidR="0065262A" w:rsidRPr="0E887DD2">
        <w:rPr>
          <w:sz w:val="24"/>
          <w:szCs w:val="24"/>
        </w:rPr>
        <w:t xml:space="preserve"> to be sufficient to</w:t>
      </w:r>
      <w:r w:rsidR="00D76C46" w:rsidRPr="0E887DD2">
        <w:rPr>
          <w:sz w:val="24"/>
          <w:szCs w:val="24"/>
        </w:rPr>
        <w:t xml:space="preserve"> </w:t>
      </w:r>
      <w:r w:rsidR="0031508A" w:rsidRPr="0E887DD2">
        <w:rPr>
          <w:sz w:val="24"/>
          <w:szCs w:val="24"/>
        </w:rPr>
        <w:t>revers</w:t>
      </w:r>
      <w:r w:rsidR="00204148" w:rsidRPr="0E887DD2">
        <w:rPr>
          <w:sz w:val="24"/>
          <w:szCs w:val="24"/>
        </w:rPr>
        <w:t>e</w:t>
      </w:r>
      <w:r w:rsidR="0031508A" w:rsidRPr="0E887DD2">
        <w:rPr>
          <w:sz w:val="24"/>
          <w:szCs w:val="24"/>
        </w:rPr>
        <w:t xml:space="preserve"> decades of entrenched stigma and discrimination against people living with disability in the workplace</w:t>
      </w:r>
      <w:r w:rsidR="00CC7BDA" w:rsidRPr="0E887DD2">
        <w:rPr>
          <w:sz w:val="24"/>
          <w:szCs w:val="24"/>
        </w:rPr>
        <w:t>.</w:t>
      </w:r>
      <w:r w:rsidR="00EB5BB9" w:rsidRPr="0E887DD2">
        <w:rPr>
          <w:sz w:val="24"/>
          <w:szCs w:val="24"/>
        </w:rPr>
        <w:t xml:space="preserve"> </w:t>
      </w:r>
      <w:r w:rsidR="08B51433" w:rsidRPr="0E887DD2">
        <w:rPr>
          <w:sz w:val="24"/>
          <w:szCs w:val="24"/>
        </w:rPr>
        <w:t>The w</w:t>
      </w:r>
      <w:r w:rsidR="00F8458D" w:rsidRPr="0E887DD2">
        <w:rPr>
          <w:sz w:val="24"/>
          <w:szCs w:val="24"/>
        </w:rPr>
        <w:t>orkforce participation</w:t>
      </w:r>
      <w:r w:rsidR="5E74C1C2" w:rsidRPr="0E887DD2">
        <w:rPr>
          <w:sz w:val="24"/>
          <w:szCs w:val="24"/>
        </w:rPr>
        <w:t xml:space="preserve"> </w:t>
      </w:r>
      <w:r w:rsidR="3A82D136" w:rsidRPr="0E887DD2">
        <w:rPr>
          <w:sz w:val="24"/>
          <w:szCs w:val="24"/>
        </w:rPr>
        <w:t xml:space="preserve">rate </w:t>
      </w:r>
      <w:r w:rsidR="5E74C1C2" w:rsidRPr="0E887DD2">
        <w:rPr>
          <w:sz w:val="24"/>
          <w:szCs w:val="24"/>
        </w:rPr>
        <w:t>(including those looking for work)</w:t>
      </w:r>
      <w:r w:rsidR="00F8458D" w:rsidRPr="0E887DD2">
        <w:rPr>
          <w:sz w:val="24"/>
          <w:szCs w:val="24"/>
        </w:rPr>
        <w:t xml:space="preserve"> for people living with disability has remained static at 53-54 percent for the last </w:t>
      </w:r>
      <w:r w:rsidR="0092040D" w:rsidRPr="0E887DD2">
        <w:rPr>
          <w:sz w:val="24"/>
          <w:szCs w:val="24"/>
        </w:rPr>
        <w:t>30 years</w:t>
      </w:r>
      <w:r w:rsidR="005431BD" w:rsidRPr="0E887DD2">
        <w:rPr>
          <w:rStyle w:val="FootnoteReference"/>
          <w:sz w:val="24"/>
          <w:szCs w:val="24"/>
        </w:rPr>
        <w:footnoteReference w:id="8"/>
      </w:r>
      <w:r w:rsidR="0092040D" w:rsidRPr="0E887DD2">
        <w:rPr>
          <w:sz w:val="24"/>
          <w:szCs w:val="24"/>
        </w:rPr>
        <w:t>,</w:t>
      </w:r>
      <w:r w:rsidR="230ACF9A" w:rsidRPr="0E887DD2">
        <w:rPr>
          <w:sz w:val="24"/>
          <w:szCs w:val="24"/>
        </w:rPr>
        <w:t xml:space="preserve"> according to evidence submitted to the DRC, or, perhaps more </w:t>
      </w:r>
      <w:r w:rsidR="4976F6A6" w:rsidRPr="0E887DD2">
        <w:rPr>
          <w:sz w:val="24"/>
          <w:szCs w:val="24"/>
        </w:rPr>
        <w:t>precis</w:t>
      </w:r>
      <w:r w:rsidR="230ACF9A" w:rsidRPr="0E887DD2">
        <w:rPr>
          <w:sz w:val="24"/>
          <w:szCs w:val="24"/>
        </w:rPr>
        <w:t xml:space="preserve">ely, </w:t>
      </w:r>
      <w:r w:rsidR="327F6D9B" w:rsidRPr="0E887DD2">
        <w:rPr>
          <w:sz w:val="24"/>
          <w:szCs w:val="24"/>
        </w:rPr>
        <w:t>an employment rate of</w:t>
      </w:r>
      <w:r w:rsidR="6C4A1430" w:rsidRPr="0E887DD2">
        <w:rPr>
          <w:sz w:val="24"/>
          <w:szCs w:val="24"/>
        </w:rPr>
        <w:t xml:space="preserve"> only</w:t>
      </w:r>
      <w:r w:rsidR="327F6D9B" w:rsidRPr="0E887DD2">
        <w:rPr>
          <w:sz w:val="24"/>
          <w:szCs w:val="24"/>
        </w:rPr>
        <w:t xml:space="preserve"> </w:t>
      </w:r>
      <w:r w:rsidR="230ACF9A" w:rsidRPr="0E887DD2">
        <w:rPr>
          <w:sz w:val="24"/>
          <w:szCs w:val="24"/>
        </w:rPr>
        <w:t xml:space="preserve">47.8 per cent according to </w:t>
      </w:r>
      <w:hyperlink r:id="rId14">
        <w:r w:rsidR="230ACF9A" w:rsidRPr="0E887DD2">
          <w:rPr>
            <w:rStyle w:val="Hyperlink"/>
            <w:sz w:val="24"/>
            <w:szCs w:val="24"/>
          </w:rPr>
          <w:t>measures</w:t>
        </w:r>
      </w:hyperlink>
      <w:r w:rsidR="1D19A6F4" w:rsidRPr="2C561418">
        <w:rPr>
          <w:sz w:val="24"/>
          <w:szCs w:val="24"/>
        </w:rPr>
        <w:t xml:space="preserve"> of those actually in</w:t>
      </w:r>
      <w:r w:rsidR="1D19A6F4" w:rsidRPr="0E887DD2">
        <w:rPr>
          <w:sz w:val="24"/>
          <w:szCs w:val="24"/>
        </w:rPr>
        <w:t xml:space="preserve"> work</w:t>
      </w:r>
      <w:r w:rsidR="230ACF9A" w:rsidRPr="0E887DD2">
        <w:rPr>
          <w:sz w:val="24"/>
          <w:szCs w:val="24"/>
        </w:rPr>
        <w:t xml:space="preserve">, </w:t>
      </w:r>
      <w:r w:rsidR="0092040D" w:rsidRPr="4EA5BC0B">
        <w:rPr>
          <w:sz w:val="24"/>
          <w:szCs w:val="24"/>
        </w:rPr>
        <w:t>despite myriad reports and interventions.</w:t>
      </w:r>
      <w:r w:rsidR="00A11F57" w:rsidRPr="4EA5BC0B">
        <w:rPr>
          <w:sz w:val="24"/>
          <w:szCs w:val="24"/>
        </w:rPr>
        <w:t xml:space="preserve"> </w:t>
      </w:r>
    </w:p>
    <w:p w14:paraId="2A4F2693" w14:textId="02B71958" w:rsidR="00E62485" w:rsidRPr="00146C13" w:rsidRDefault="002566E6" w:rsidP="0E887DD2">
      <w:pPr>
        <w:spacing w:line="360" w:lineRule="auto"/>
        <w:rPr>
          <w:sz w:val="24"/>
          <w:szCs w:val="24"/>
        </w:rPr>
      </w:pPr>
      <w:r w:rsidRPr="0E887DD2">
        <w:rPr>
          <w:sz w:val="24"/>
          <w:szCs w:val="24"/>
        </w:rPr>
        <w:lastRenderedPageBreak/>
        <w:t>By</w:t>
      </w:r>
      <w:r w:rsidR="00D01DDD" w:rsidRPr="0E887DD2">
        <w:rPr>
          <w:sz w:val="24"/>
          <w:szCs w:val="24"/>
        </w:rPr>
        <w:t xml:space="preserve"> </w:t>
      </w:r>
      <w:r w:rsidR="00325A27" w:rsidRPr="0E887DD2">
        <w:rPr>
          <w:sz w:val="24"/>
          <w:szCs w:val="24"/>
        </w:rPr>
        <w:t>e</w:t>
      </w:r>
      <w:r w:rsidR="00A11F57" w:rsidRPr="0E887DD2">
        <w:rPr>
          <w:sz w:val="24"/>
          <w:szCs w:val="24"/>
        </w:rPr>
        <w:t>ncouraging disclosure of lived experience</w:t>
      </w:r>
      <w:r w:rsidR="00244041" w:rsidRPr="0E887DD2">
        <w:rPr>
          <w:sz w:val="24"/>
          <w:szCs w:val="24"/>
        </w:rPr>
        <w:t xml:space="preserve"> </w:t>
      </w:r>
      <w:r w:rsidR="00FD1FA1" w:rsidRPr="0E887DD2">
        <w:rPr>
          <w:sz w:val="24"/>
          <w:szCs w:val="24"/>
        </w:rPr>
        <w:t xml:space="preserve">during recruitment </w:t>
      </w:r>
      <w:r w:rsidR="00244041" w:rsidRPr="0E887DD2">
        <w:rPr>
          <w:sz w:val="24"/>
          <w:szCs w:val="24"/>
        </w:rPr>
        <w:t>without</w:t>
      </w:r>
      <w:r w:rsidR="00D4233F" w:rsidRPr="0E887DD2">
        <w:rPr>
          <w:sz w:val="24"/>
          <w:szCs w:val="24"/>
        </w:rPr>
        <w:t xml:space="preserve"> any</w:t>
      </w:r>
      <w:r w:rsidR="00244041" w:rsidRPr="0E887DD2">
        <w:rPr>
          <w:sz w:val="24"/>
          <w:szCs w:val="24"/>
        </w:rPr>
        <w:t xml:space="preserve"> accompanying commitments </w:t>
      </w:r>
      <w:r w:rsidR="009772A0" w:rsidRPr="0E887DD2">
        <w:rPr>
          <w:sz w:val="24"/>
          <w:szCs w:val="24"/>
        </w:rPr>
        <w:t xml:space="preserve">or targets, </w:t>
      </w:r>
      <w:r w:rsidR="001C558D" w:rsidRPr="0E887DD2">
        <w:rPr>
          <w:sz w:val="24"/>
          <w:szCs w:val="24"/>
        </w:rPr>
        <w:t xml:space="preserve">this </w:t>
      </w:r>
      <w:r w:rsidR="009772A0" w:rsidRPr="0E887DD2">
        <w:rPr>
          <w:sz w:val="24"/>
          <w:szCs w:val="24"/>
        </w:rPr>
        <w:t xml:space="preserve">could, perversely, lead </w:t>
      </w:r>
      <w:r w:rsidR="00B358D1" w:rsidRPr="0E887DD2">
        <w:rPr>
          <w:sz w:val="24"/>
          <w:szCs w:val="24"/>
        </w:rPr>
        <w:t>to</w:t>
      </w:r>
      <w:r w:rsidR="00000E06" w:rsidRPr="0E887DD2">
        <w:rPr>
          <w:sz w:val="24"/>
          <w:szCs w:val="24"/>
        </w:rPr>
        <w:t xml:space="preserve"> the</w:t>
      </w:r>
      <w:r w:rsidR="00B358D1" w:rsidRPr="0E887DD2">
        <w:rPr>
          <w:sz w:val="24"/>
          <w:szCs w:val="24"/>
        </w:rPr>
        <w:t xml:space="preserve"> reduced </w:t>
      </w:r>
      <w:r w:rsidR="0084562A" w:rsidRPr="0E887DD2">
        <w:rPr>
          <w:sz w:val="24"/>
          <w:szCs w:val="24"/>
        </w:rPr>
        <w:t xml:space="preserve">employment of people </w:t>
      </w:r>
      <w:r w:rsidR="009A34CA" w:rsidRPr="0E887DD2">
        <w:rPr>
          <w:sz w:val="24"/>
          <w:szCs w:val="24"/>
        </w:rPr>
        <w:t xml:space="preserve">living </w:t>
      </w:r>
      <w:r w:rsidR="0084562A" w:rsidRPr="0E887DD2">
        <w:rPr>
          <w:sz w:val="24"/>
          <w:szCs w:val="24"/>
        </w:rPr>
        <w:t>with disability, as sub-conscious bias could colour t</w:t>
      </w:r>
      <w:r w:rsidR="00221233" w:rsidRPr="0E887DD2">
        <w:rPr>
          <w:sz w:val="24"/>
          <w:szCs w:val="24"/>
        </w:rPr>
        <w:t>he evaluation of whether other criteria, such as skills and knowledge, are met.</w:t>
      </w:r>
      <w:r w:rsidR="00325A27" w:rsidRPr="0E887DD2">
        <w:rPr>
          <w:sz w:val="24"/>
          <w:szCs w:val="24"/>
        </w:rPr>
        <w:t xml:space="preserve"> </w:t>
      </w:r>
      <w:r w:rsidR="00185B70" w:rsidRPr="0E887DD2">
        <w:rPr>
          <w:sz w:val="24"/>
          <w:szCs w:val="24"/>
        </w:rPr>
        <w:t xml:space="preserve">Given the DRC’s findings that </w:t>
      </w:r>
      <w:r w:rsidR="0089225F" w:rsidRPr="0E887DD2">
        <w:rPr>
          <w:sz w:val="24"/>
          <w:szCs w:val="24"/>
        </w:rPr>
        <w:t>stigma was not just a barrier to workforce entry, but also progression and promotion</w:t>
      </w:r>
      <w:r w:rsidR="0089225F" w:rsidRPr="0E887DD2">
        <w:rPr>
          <w:rStyle w:val="FootnoteReference"/>
          <w:sz w:val="24"/>
          <w:szCs w:val="24"/>
        </w:rPr>
        <w:footnoteReference w:id="9"/>
      </w:r>
      <w:r w:rsidR="00F85A78" w:rsidRPr="0E887DD2">
        <w:rPr>
          <w:sz w:val="24"/>
          <w:szCs w:val="24"/>
        </w:rPr>
        <w:t xml:space="preserve">, positions that are at the pinnacle of a profession, such as </w:t>
      </w:r>
      <w:r w:rsidR="009A6A17" w:rsidRPr="0E887DD2">
        <w:rPr>
          <w:sz w:val="24"/>
          <w:szCs w:val="24"/>
        </w:rPr>
        <w:t xml:space="preserve">Administrative Review </w:t>
      </w:r>
      <w:r w:rsidR="00F85A78" w:rsidRPr="0E887DD2">
        <w:rPr>
          <w:sz w:val="24"/>
          <w:szCs w:val="24"/>
        </w:rPr>
        <w:t xml:space="preserve">Tribunal Member, </w:t>
      </w:r>
      <w:r w:rsidR="006E7578" w:rsidRPr="0E887DD2">
        <w:rPr>
          <w:sz w:val="24"/>
          <w:szCs w:val="24"/>
        </w:rPr>
        <w:t xml:space="preserve">which </w:t>
      </w:r>
      <w:r w:rsidR="00056EAF" w:rsidRPr="0E887DD2">
        <w:rPr>
          <w:sz w:val="24"/>
          <w:szCs w:val="24"/>
        </w:rPr>
        <w:t>are the narrowest end of the funnel</w:t>
      </w:r>
      <w:r w:rsidR="006E7578" w:rsidRPr="0E887DD2">
        <w:rPr>
          <w:sz w:val="24"/>
          <w:szCs w:val="24"/>
        </w:rPr>
        <w:t>, require the greatest intervention</w:t>
      </w:r>
      <w:r w:rsidR="00056EAF" w:rsidRPr="0E887DD2">
        <w:rPr>
          <w:sz w:val="24"/>
          <w:szCs w:val="24"/>
        </w:rPr>
        <w:t>.</w:t>
      </w:r>
      <w:r w:rsidR="00421CD2" w:rsidRPr="0E887DD2">
        <w:rPr>
          <w:sz w:val="24"/>
          <w:szCs w:val="24"/>
        </w:rPr>
        <w:t xml:space="preserve"> </w:t>
      </w:r>
    </w:p>
    <w:p w14:paraId="436F59BF" w14:textId="1B0BCEDE" w:rsidR="00C1203B" w:rsidRPr="00146C13" w:rsidRDefault="007D058D" w:rsidP="0E887DD2">
      <w:pPr>
        <w:spacing w:line="360" w:lineRule="auto"/>
        <w:rPr>
          <w:sz w:val="24"/>
          <w:szCs w:val="24"/>
        </w:rPr>
      </w:pPr>
      <w:r w:rsidRPr="0E887DD2">
        <w:rPr>
          <w:sz w:val="24"/>
          <w:szCs w:val="24"/>
        </w:rPr>
        <w:t>We recommend a</w:t>
      </w:r>
      <w:r w:rsidR="00E62485" w:rsidRPr="0E887DD2">
        <w:rPr>
          <w:sz w:val="24"/>
          <w:szCs w:val="24"/>
        </w:rPr>
        <w:t xml:space="preserve">mending the legislation </w:t>
      </w:r>
      <w:r w:rsidR="00E7761B" w:rsidRPr="0E887DD2">
        <w:rPr>
          <w:sz w:val="24"/>
          <w:szCs w:val="24"/>
        </w:rPr>
        <w:t xml:space="preserve">to </w:t>
      </w:r>
      <w:r w:rsidR="00F40C63" w:rsidRPr="0E887DD2">
        <w:rPr>
          <w:sz w:val="24"/>
          <w:szCs w:val="24"/>
        </w:rPr>
        <w:t>include</w:t>
      </w:r>
      <w:r w:rsidR="00E7761B" w:rsidRPr="0E887DD2">
        <w:rPr>
          <w:sz w:val="24"/>
          <w:szCs w:val="24"/>
        </w:rPr>
        <w:t xml:space="preserve"> lived experience employment</w:t>
      </w:r>
      <w:r w:rsidR="00F40C63" w:rsidRPr="0E887DD2">
        <w:rPr>
          <w:sz w:val="24"/>
          <w:szCs w:val="24"/>
        </w:rPr>
        <w:t xml:space="preserve"> targets</w:t>
      </w:r>
      <w:r w:rsidRPr="0E887DD2">
        <w:rPr>
          <w:sz w:val="24"/>
          <w:szCs w:val="24"/>
        </w:rPr>
        <w:t>. This</w:t>
      </w:r>
      <w:r w:rsidR="005C5BB9" w:rsidRPr="0E887DD2">
        <w:rPr>
          <w:sz w:val="24"/>
          <w:szCs w:val="24"/>
        </w:rPr>
        <w:t xml:space="preserve"> would also align with </w:t>
      </w:r>
      <w:r w:rsidR="00B91092" w:rsidRPr="0E887DD2">
        <w:rPr>
          <w:i/>
          <w:iCs/>
          <w:sz w:val="24"/>
          <w:szCs w:val="24"/>
        </w:rPr>
        <w:t xml:space="preserve">Australia’s Disability Strategy </w:t>
      </w:r>
      <w:r w:rsidR="0028005B" w:rsidRPr="0E887DD2">
        <w:rPr>
          <w:i/>
          <w:iCs/>
          <w:sz w:val="24"/>
          <w:szCs w:val="24"/>
        </w:rPr>
        <w:t>2021-2031</w:t>
      </w:r>
      <w:r w:rsidR="0028005B" w:rsidRPr="0E887DD2">
        <w:rPr>
          <w:sz w:val="24"/>
          <w:szCs w:val="24"/>
        </w:rPr>
        <w:t xml:space="preserve"> that</w:t>
      </w:r>
      <w:r w:rsidR="00B91092" w:rsidRPr="0E887DD2">
        <w:rPr>
          <w:sz w:val="24"/>
          <w:szCs w:val="24"/>
        </w:rPr>
        <w:t xml:space="preserve"> </w:t>
      </w:r>
      <w:r w:rsidR="00DC36A4" w:rsidRPr="0E887DD2">
        <w:rPr>
          <w:sz w:val="24"/>
          <w:szCs w:val="24"/>
        </w:rPr>
        <w:t>seeks to “enshrine and elevate the ideals of respect, inclusivity, and equality…</w:t>
      </w:r>
      <w:r w:rsidR="00620A16" w:rsidRPr="0E887DD2">
        <w:rPr>
          <w:sz w:val="24"/>
          <w:szCs w:val="24"/>
        </w:rPr>
        <w:t xml:space="preserve"> </w:t>
      </w:r>
      <w:r w:rsidR="00CA6B40" w:rsidRPr="0E887DD2">
        <w:rPr>
          <w:sz w:val="24"/>
          <w:szCs w:val="24"/>
        </w:rPr>
        <w:t>enabling every Australian to meet their potential, to achieve, to have a fair go and to have real choices”.</w:t>
      </w:r>
      <w:r w:rsidR="00E2604F" w:rsidRPr="0E887DD2">
        <w:rPr>
          <w:rStyle w:val="FootnoteReference"/>
          <w:sz w:val="24"/>
          <w:szCs w:val="24"/>
        </w:rPr>
        <w:footnoteReference w:id="10"/>
      </w:r>
      <w:r w:rsidR="00F40C63" w:rsidRPr="0E887DD2">
        <w:rPr>
          <w:sz w:val="24"/>
          <w:szCs w:val="24"/>
        </w:rPr>
        <w:t xml:space="preserve"> </w:t>
      </w:r>
      <w:r w:rsidR="002F4D9C" w:rsidRPr="0E887DD2">
        <w:rPr>
          <w:sz w:val="24"/>
          <w:szCs w:val="24"/>
        </w:rPr>
        <w:t xml:space="preserve">Such </w:t>
      </w:r>
      <w:r w:rsidR="0017770C" w:rsidRPr="0E887DD2">
        <w:rPr>
          <w:sz w:val="24"/>
          <w:szCs w:val="24"/>
        </w:rPr>
        <w:t>pro-active</w:t>
      </w:r>
      <w:r w:rsidR="002F4D9C" w:rsidRPr="0E887DD2">
        <w:rPr>
          <w:sz w:val="24"/>
          <w:szCs w:val="24"/>
        </w:rPr>
        <w:t xml:space="preserve"> leadership</w:t>
      </w:r>
      <w:r w:rsidR="0017770C" w:rsidRPr="0E887DD2">
        <w:rPr>
          <w:sz w:val="24"/>
          <w:szCs w:val="24"/>
        </w:rPr>
        <w:t xml:space="preserve"> is also called for by the DRC, </w:t>
      </w:r>
      <w:r w:rsidRPr="0E887DD2">
        <w:rPr>
          <w:sz w:val="24"/>
          <w:szCs w:val="24"/>
        </w:rPr>
        <w:t xml:space="preserve">which </w:t>
      </w:r>
      <w:r w:rsidR="0025252A" w:rsidRPr="0E887DD2">
        <w:rPr>
          <w:sz w:val="24"/>
          <w:szCs w:val="24"/>
        </w:rPr>
        <w:t>said the public sector “should lead the way in employing people with disability and should model best practice inclusion for other workplaces”</w:t>
      </w:r>
      <w:r w:rsidR="00243C4C" w:rsidRPr="0E887DD2">
        <w:rPr>
          <w:rStyle w:val="FootnoteReference"/>
          <w:sz w:val="24"/>
          <w:szCs w:val="24"/>
        </w:rPr>
        <w:footnoteReference w:id="11"/>
      </w:r>
      <w:r w:rsidR="008D2F62" w:rsidRPr="0E887DD2">
        <w:rPr>
          <w:sz w:val="24"/>
          <w:szCs w:val="24"/>
        </w:rPr>
        <w:t xml:space="preserve">, the CRPD </w:t>
      </w:r>
      <w:r w:rsidR="00074C5F" w:rsidRPr="0E887DD2">
        <w:rPr>
          <w:sz w:val="24"/>
          <w:szCs w:val="24"/>
        </w:rPr>
        <w:t>C</w:t>
      </w:r>
      <w:r w:rsidR="008D2F62" w:rsidRPr="0E887DD2">
        <w:rPr>
          <w:sz w:val="24"/>
          <w:szCs w:val="24"/>
        </w:rPr>
        <w:t>ommittee, which called for “</w:t>
      </w:r>
      <w:r w:rsidR="00561300" w:rsidRPr="0E887DD2">
        <w:rPr>
          <w:sz w:val="24"/>
          <w:szCs w:val="24"/>
        </w:rPr>
        <w:t>a more rigorous approach to inclusion”</w:t>
      </w:r>
      <w:r w:rsidR="00CB72F6" w:rsidRPr="0E887DD2">
        <w:rPr>
          <w:rStyle w:val="FootnoteReference"/>
          <w:sz w:val="24"/>
          <w:szCs w:val="24"/>
        </w:rPr>
        <w:footnoteReference w:id="12"/>
      </w:r>
      <w:r w:rsidR="00561300" w:rsidRPr="0E887DD2">
        <w:rPr>
          <w:sz w:val="24"/>
          <w:szCs w:val="24"/>
        </w:rPr>
        <w:t xml:space="preserve"> from </w:t>
      </w:r>
      <w:r w:rsidR="00D9071C" w:rsidRPr="0E887DD2">
        <w:rPr>
          <w:sz w:val="24"/>
          <w:szCs w:val="24"/>
        </w:rPr>
        <w:t>public sector</w:t>
      </w:r>
      <w:r w:rsidR="00561300" w:rsidRPr="0E887DD2">
        <w:rPr>
          <w:sz w:val="24"/>
          <w:szCs w:val="24"/>
        </w:rPr>
        <w:t xml:space="preserve"> employers, and the </w:t>
      </w:r>
      <w:r w:rsidR="00561300" w:rsidRPr="0E887DD2">
        <w:rPr>
          <w:i/>
          <w:iCs/>
          <w:sz w:val="24"/>
          <w:szCs w:val="24"/>
        </w:rPr>
        <w:t>Shut Out</w:t>
      </w:r>
      <w:r w:rsidR="00561300" w:rsidRPr="0E887DD2">
        <w:rPr>
          <w:sz w:val="24"/>
          <w:szCs w:val="24"/>
        </w:rPr>
        <w:t xml:space="preserve"> report.</w:t>
      </w:r>
      <w:r w:rsidR="009427CB" w:rsidRPr="0E887DD2">
        <w:rPr>
          <w:rStyle w:val="FootnoteReference"/>
          <w:sz w:val="24"/>
          <w:szCs w:val="24"/>
        </w:rPr>
        <w:footnoteReference w:id="13"/>
      </w:r>
    </w:p>
    <w:p w14:paraId="210476B7" w14:textId="13583E3E" w:rsidR="00E3322C" w:rsidRPr="00146C13" w:rsidRDefault="009460BC" w:rsidP="0E887DD2">
      <w:pPr>
        <w:spacing w:line="360" w:lineRule="auto"/>
        <w:rPr>
          <w:b/>
          <w:bCs/>
          <w:sz w:val="24"/>
          <w:szCs w:val="24"/>
          <w:lang w:val="en-US"/>
        </w:rPr>
      </w:pPr>
      <w:r w:rsidRPr="0E887DD2">
        <w:rPr>
          <w:sz w:val="24"/>
          <w:szCs w:val="24"/>
        </w:rPr>
        <w:t xml:space="preserve">Legislative workforce targets, with rigorous </w:t>
      </w:r>
      <w:r w:rsidR="00E253DD" w:rsidRPr="0E887DD2">
        <w:rPr>
          <w:sz w:val="24"/>
          <w:szCs w:val="24"/>
        </w:rPr>
        <w:t xml:space="preserve">tracking and accountability measures, are required in all realms of the Commonwealth </w:t>
      </w:r>
      <w:r w:rsidR="00EE0E12" w:rsidRPr="0E887DD2">
        <w:rPr>
          <w:sz w:val="24"/>
          <w:szCs w:val="24"/>
        </w:rPr>
        <w:t>public service</w:t>
      </w:r>
      <w:r w:rsidR="00A905A1" w:rsidRPr="0E887DD2">
        <w:rPr>
          <w:sz w:val="24"/>
          <w:szCs w:val="24"/>
        </w:rPr>
        <w:t>.</w:t>
      </w:r>
      <w:r w:rsidR="00EE0E12" w:rsidRPr="0E887DD2">
        <w:rPr>
          <w:sz w:val="24"/>
          <w:szCs w:val="24"/>
        </w:rPr>
        <w:t xml:space="preserve"> </w:t>
      </w:r>
      <w:r w:rsidR="00224C66" w:rsidRPr="0E887DD2">
        <w:rPr>
          <w:sz w:val="24"/>
          <w:szCs w:val="24"/>
        </w:rPr>
        <w:t>A</w:t>
      </w:r>
      <w:r w:rsidR="0022540B" w:rsidRPr="0E887DD2">
        <w:rPr>
          <w:sz w:val="24"/>
          <w:szCs w:val="24"/>
        </w:rPr>
        <w:t xml:space="preserve">ccording to Australian Public Service Commissioner Peter Woolcott, </w:t>
      </w:r>
      <w:r w:rsidR="00EE0E12" w:rsidRPr="0E887DD2">
        <w:rPr>
          <w:sz w:val="24"/>
          <w:szCs w:val="24"/>
        </w:rPr>
        <w:t xml:space="preserve">the Commonwealth is currently failing to meet </w:t>
      </w:r>
      <w:r w:rsidR="00114D8E" w:rsidRPr="0E887DD2">
        <w:rPr>
          <w:sz w:val="24"/>
          <w:szCs w:val="24"/>
        </w:rPr>
        <w:t xml:space="preserve">its </w:t>
      </w:r>
      <w:r w:rsidR="00026430" w:rsidRPr="0E887DD2">
        <w:rPr>
          <w:sz w:val="24"/>
          <w:szCs w:val="24"/>
        </w:rPr>
        <w:t>present</w:t>
      </w:r>
      <w:r w:rsidR="00114D8E" w:rsidRPr="0E887DD2">
        <w:rPr>
          <w:sz w:val="24"/>
          <w:szCs w:val="24"/>
        </w:rPr>
        <w:t xml:space="preserve"> humble aspiration</w:t>
      </w:r>
      <w:r w:rsidR="002A37F9" w:rsidRPr="0E887DD2">
        <w:rPr>
          <w:sz w:val="24"/>
          <w:szCs w:val="24"/>
        </w:rPr>
        <w:t xml:space="preserve"> to e</w:t>
      </w:r>
      <w:r w:rsidR="00DF152F" w:rsidRPr="0E887DD2">
        <w:rPr>
          <w:sz w:val="24"/>
          <w:szCs w:val="24"/>
        </w:rPr>
        <w:t xml:space="preserve">nsure </w:t>
      </w:r>
      <w:r w:rsidR="00026430" w:rsidRPr="0E887DD2">
        <w:rPr>
          <w:sz w:val="24"/>
          <w:szCs w:val="24"/>
        </w:rPr>
        <w:t>seven</w:t>
      </w:r>
      <w:r w:rsidR="00573C3D" w:rsidRPr="0E887DD2">
        <w:rPr>
          <w:sz w:val="24"/>
          <w:szCs w:val="24"/>
        </w:rPr>
        <w:t xml:space="preserve"> per</w:t>
      </w:r>
      <w:r w:rsidR="00026430" w:rsidRPr="0E887DD2">
        <w:rPr>
          <w:sz w:val="24"/>
          <w:szCs w:val="24"/>
        </w:rPr>
        <w:t xml:space="preserve"> </w:t>
      </w:r>
      <w:r w:rsidR="00573C3D" w:rsidRPr="0E887DD2">
        <w:rPr>
          <w:sz w:val="24"/>
          <w:szCs w:val="24"/>
        </w:rPr>
        <w:t xml:space="preserve">cent of </w:t>
      </w:r>
      <w:r w:rsidR="00026430" w:rsidRPr="0E887DD2">
        <w:rPr>
          <w:sz w:val="24"/>
          <w:szCs w:val="24"/>
        </w:rPr>
        <w:t xml:space="preserve">the </w:t>
      </w:r>
      <w:r w:rsidR="00573C3D" w:rsidRPr="0E887DD2">
        <w:rPr>
          <w:sz w:val="24"/>
          <w:szCs w:val="24"/>
        </w:rPr>
        <w:t xml:space="preserve">APS workforce </w:t>
      </w:r>
      <w:r w:rsidR="0022540B" w:rsidRPr="0E887DD2">
        <w:rPr>
          <w:sz w:val="24"/>
          <w:szCs w:val="24"/>
        </w:rPr>
        <w:t>are</w:t>
      </w:r>
      <w:r w:rsidR="00AC2A87" w:rsidRPr="0E887DD2">
        <w:rPr>
          <w:sz w:val="24"/>
          <w:szCs w:val="24"/>
        </w:rPr>
        <w:t xml:space="preserve"> </w:t>
      </w:r>
      <w:r w:rsidR="00573C3D" w:rsidRPr="0E887DD2">
        <w:rPr>
          <w:sz w:val="24"/>
          <w:szCs w:val="24"/>
        </w:rPr>
        <w:t>people living with disability</w:t>
      </w:r>
      <w:r w:rsidR="00742B31" w:rsidRPr="0E887DD2">
        <w:rPr>
          <w:sz w:val="24"/>
          <w:szCs w:val="24"/>
        </w:rPr>
        <w:t>.</w:t>
      </w:r>
      <w:r w:rsidR="00573615" w:rsidRPr="0E887DD2">
        <w:rPr>
          <w:rStyle w:val="FootnoteReference"/>
          <w:sz w:val="24"/>
          <w:szCs w:val="24"/>
        </w:rPr>
        <w:footnoteReference w:id="14"/>
      </w:r>
      <w:r w:rsidR="00EC70A6" w:rsidRPr="0E887DD2">
        <w:rPr>
          <w:sz w:val="24"/>
          <w:szCs w:val="24"/>
        </w:rPr>
        <w:t xml:space="preserve"> By </w:t>
      </w:r>
      <w:r w:rsidR="00C15AD6" w:rsidRPr="0E887DD2">
        <w:rPr>
          <w:sz w:val="24"/>
          <w:szCs w:val="24"/>
        </w:rPr>
        <w:t>simply legislating a nebulous “taking into account</w:t>
      </w:r>
      <w:r w:rsidR="0010679E" w:rsidRPr="0E887DD2">
        <w:rPr>
          <w:sz w:val="24"/>
          <w:szCs w:val="24"/>
        </w:rPr>
        <w:t xml:space="preserve"> lived experience</w:t>
      </w:r>
      <w:r w:rsidR="0067096E" w:rsidRPr="0E887DD2">
        <w:rPr>
          <w:sz w:val="24"/>
          <w:szCs w:val="24"/>
        </w:rPr>
        <w:t>”</w:t>
      </w:r>
      <w:r w:rsidR="0010679E" w:rsidRPr="0E887DD2">
        <w:rPr>
          <w:sz w:val="24"/>
          <w:szCs w:val="24"/>
        </w:rPr>
        <w:t xml:space="preserve"> requirement, the provision risks</w:t>
      </w:r>
      <w:r w:rsidR="00557532" w:rsidRPr="0E887DD2">
        <w:rPr>
          <w:sz w:val="24"/>
          <w:szCs w:val="24"/>
        </w:rPr>
        <w:t xml:space="preserve"> </w:t>
      </w:r>
      <w:r w:rsidR="000068D3" w:rsidRPr="0E887DD2">
        <w:rPr>
          <w:sz w:val="24"/>
          <w:szCs w:val="24"/>
        </w:rPr>
        <w:t xml:space="preserve">being another </w:t>
      </w:r>
      <w:r w:rsidR="000E0B0B" w:rsidRPr="0E887DD2">
        <w:rPr>
          <w:sz w:val="24"/>
          <w:szCs w:val="24"/>
        </w:rPr>
        <w:t xml:space="preserve">example of the maxim </w:t>
      </w:r>
      <w:r w:rsidR="00470D5F" w:rsidRPr="0E887DD2">
        <w:rPr>
          <w:sz w:val="24"/>
          <w:szCs w:val="24"/>
        </w:rPr>
        <w:t>“what you don’t count doesn’t count</w:t>
      </w:r>
      <w:r w:rsidR="009B7557" w:rsidRPr="0E887DD2">
        <w:rPr>
          <w:sz w:val="24"/>
          <w:szCs w:val="24"/>
        </w:rPr>
        <w:t>,</w:t>
      </w:r>
      <w:r w:rsidR="00470D5F" w:rsidRPr="0E887DD2">
        <w:rPr>
          <w:sz w:val="24"/>
          <w:szCs w:val="24"/>
        </w:rPr>
        <w:t>”</w:t>
      </w:r>
      <w:r w:rsidR="00470D5F" w:rsidRPr="0E887DD2">
        <w:rPr>
          <w:rStyle w:val="FootnoteReference"/>
          <w:sz w:val="24"/>
          <w:szCs w:val="24"/>
        </w:rPr>
        <w:footnoteReference w:id="15"/>
      </w:r>
      <w:r w:rsidR="00470D5F" w:rsidRPr="0E887DD2">
        <w:rPr>
          <w:sz w:val="24"/>
          <w:szCs w:val="24"/>
        </w:rPr>
        <w:t xml:space="preserve"> cited by Graeme Innes during the DRC.</w:t>
      </w:r>
      <w:r w:rsidR="0009354E" w:rsidRPr="0E887DD2">
        <w:rPr>
          <w:sz w:val="24"/>
          <w:szCs w:val="24"/>
        </w:rPr>
        <w:t xml:space="preserve"> Clause 4 should be amended to </w:t>
      </w:r>
      <w:r w:rsidR="00AC2477" w:rsidRPr="0E887DD2">
        <w:rPr>
          <w:sz w:val="24"/>
          <w:szCs w:val="24"/>
        </w:rPr>
        <w:lastRenderedPageBreak/>
        <w:t xml:space="preserve">align with the DRC’s recommendation 7.18 </w:t>
      </w:r>
      <w:r w:rsidR="00A8340E" w:rsidRPr="0E887DD2">
        <w:rPr>
          <w:sz w:val="24"/>
          <w:szCs w:val="24"/>
        </w:rPr>
        <w:t>by including specific and disaggregated targets for the employment of people with lived experience</w:t>
      </w:r>
      <w:r w:rsidR="007A299A" w:rsidRPr="0E887DD2">
        <w:rPr>
          <w:sz w:val="24"/>
          <w:szCs w:val="24"/>
        </w:rPr>
        <w:t xml:space="preserve"> as Tribunal Members</w:t>
      </w:r>
      <w:r w:rsidR="00A8340E" w:rsidRPr="0E887DD2">
        <w:rPr>
          <w:sz w:val="24"/>
          <w:szCs w:val="24"/>
        </w:rPr>
        <w:t xml:space="preserve">. </w:t>
      </w:r>
      <w:r w:rsidR="00470D5F" w:rsidRPr="0E887DD2">
        <w:rPr>
          <w:sz w:val="24"/>
          <w:szCs w:val="24"/>
        </w:rPr>
        <w:t xml:space="preserve"> </w:t>
      </w:r>
      <w:r w:rsidR="0010679E" w:rsidRPr="0E887DD2">
        <w:rPr>
          <w:sz w:val="24"/>
          <w:szCs w:val="24"/>
        </w:rPr>
        <w:t xml:space="preserve"> </w:t>
      </w:r>
      <w:r w:rsidR="00742B31" w:rsidRPr="0E887DD2">
        <w:rPr>
          <w:sz w:val="24"/>
          <w:szCs w:val="24"/>
        </w:rPr>
        <w:t xml:space="preserve"> </w:t>
      </w:r>
      <w:r w:rsidR="00573C3D" w:rsidRPr="0E887DD2">
        <w:rPr>
          <w:sz w:val="24"/>
          <w:szCs w:val="24"/>
        </w:rPr>
        <w:t xml:space="preserve"> </w:t>
      </w:r>
      <w:r w:rsidR="00114D8E" w:rsidRPr="0E887DD2">
        <w:rPr>
          <w:sz w:val="24"/>
          <w:szCs w:val="24"/>
        </w:rPr>
        <w:t xml:space="preserve"> </w:t>
      </w:r>
      <w:r w:rsidR="00E7761B" w:rsidRPr="0E887DD2">
        <w:rPr>
          <w:sz w:val="24"/>
          <w:szCs w:val="24"/>
        </w:rPr>
        <w:t xml:space="preserve"> </w:t>
      </w:r>
      <w:r w:rsidR="00E62485" w:rsidRPr="0E887DD2">
        <w:rPr>
          <w:sz w:val="24"/>
          <w:szCs w:val="24"/>
        </w:rPr>
        <w:t xml:space="preserve"> </w:t>
      </w:r>
      <w:r w:rsidR="00056EAF" w:rsidRPr="0E887DD2">
        <w:rPr>
          <w:sz w:val="24"/>
          <w:szCs w:val="24"/>
        </w:rPr>
        <w:t xml:space="preserve"> </w:t>
      </w:r>
      <w:r w:rsidR="00F85A78" w:rsidRPr="0E887DD2">
        <w:rPr>
          <w:sz w:val="24"/>
          <w:szCs w:val="24"/>
        </w:rPr>
        <w:t xml:space="preserve"> </w:t>
      </w:r>
      <w:r w:rsidR="00221233" w:rsidRPr="0E887DD2">
        <w:rPr>
          <w:sz w:val="24"/>
          <w:szCs w:val="24"/>
        </w:rPr>
        <w:t xml:space="preserve"> </w:t>
      </w:r>
      <w:r w:rsidR="0092040D" w:rsidRPr="0E887DD2">
        <w:rPr>
          <w:sz w:val="24"/>
          <w:szCs w:val="24"/>
        </w:rPr>
        <w:t xml:space="preserve"> </w:t>
      </w:r>
    </w:p>
    <w:p w14:paraId="5377128A" w14:textId="2B78C0DC" w:rsidR="0E887DD2" w:rsidRPr="00162FF8" w:rsidRDefault="00893222" w:rsidP="00162FF8">
      <w:pPr>
        <w:spacing w:line="360" w:lineRule="auto"/>
        <w:rPr>
          <w:rStyle w:val="normaltextrun"/>
          <w:b/>
          <w:bCs/>
          <w:color w:val="522E91"/>
          <w:sz w:val="24"/>
          <w:szCs w:val="24"/>
          <w:shd w:val="clear" w:color="auto" w:fill="FFFFFF"/>
        </w:rPr>
      </w:pPr>
      <w:r w:rsidRPr="00162FF8">
        <w:rPr>
          <w:rStyle w:val="normaltextrun"/>
          <w:b/>
          <w:bCs/>
          <w:color w:val="522E91"/>
          <w:sz w:val="24"/>
          <w:szCs w:val="24"/>
        </w:rPr>
        <w:t xml:space="preserve">Recommendation </w:t>
      </w:r>
      <w:r w:rsidR="0027567A" w:rsidRPr="00162FF8">
        <w:rPr>
          <w:rStyle w:val="normaltextrun"/>
          <w:b/>
          <w:bCs/>
          <w:color w:val="522E91"/>
          <w:sz w:val="24"/>
          <w:szCs w:val="24"/>
        </w:rPr>
        <w:t>5</w:t>
      </w:r>
      <w:r w:rsidRPr="00162FF8">
        <w:rPr>
          <w:rStyle w:val="normaltextrun"/>
          <w:b/>
          <w:bCs/>
          <w:color w:val="522E91"/>
          <w:sz w:val="24"/>
          <w:szCs w:val="24"/>
        </w:rPr>
        <w:t>:</w:t>
      </w:r>
      <w:r w:rsidRPr="00162FF8">
        <w:rPr>
          <w:rStyle w:val="normaltextrun"/>
          <w:b/>
          <w:bCs/>
          <w:color w:val="7030A0"/>
          <w:sz w:val="24"/>
          <w:szCs w:val="24"/>
        </w:rPr>
        <w:t> </w:t>
      </w:r>
      <w:r w:rsidRPr="00162FF8">
        <w:rPr>
          <w:rStyle w:val="normaltextrun"/>
          <w:b/>
          <w:bCs/>
          <w:sz w:val="24"/>
          <w:szCs w:val="24"/>
        </w:rPr>
        <w:t xml:space="preserve">The Committee </w:t>
      </w:r>
      <w:r w:rsidR="009B7557" w:rsidRPr="00162FF8">
        <w:rPr>
          <w:rStyle w:val="normaltextrun"/>
          <w:b/>
          <w:bCs/>
          <w:sz w:val="24"/>
          <w:szCs w:val="24"/>
        </w:rPr>
        <w:t xml:space="preserve">should </w:t>
      </w:r>
      <w:r w:rsidRPr="00162FF8">
        <w:rPr>
          <w:rStyle w:val="normaltextrun"/>
          <w:b/>
          <w:bCs/>
          <w:sz w:val="24"/>
          <w:szCs w:val="24"/>
        </w:rPr>
        <w:t>recommend</w:t>
      </w:r>
      <w:r w:rsidR="001324B0" w:rsidRPr="00162FF8">
        <w:rPr>
          <w:rStyle w:val="normaltextrun"/>
          <w:b/>
          <w:bCs/>
          <w:color w:val="522E91"/>
          <w:sz w:val="24"/>
          <w:szCs w:val="24"/>
        </w:rPr>
        <w:t xml:space="preserve"> </w:t>
      </w:r>
      <w:r w:rsidR="001324B0" w:rsidRPr="00162FF8">
        <w:rPr>
          <w:rStyle w:val="normaltextrun"/>
          <w:b/>
          <w:bCs/>
          <w:color w:val="000000" w:themeColor="text1"/>
          <w:sz w:val="24"/>
          <w:szCs w:val="24"/>
        </w:rPr>
        <w:t>t</w:t>
      </w:r>
      <w:r w:rsidRPr="00162FF8">
        <w:rPr>
          <w:rStyle w:val="normaltextrun"/>
          <w:b/>
          <w:bCs/>
          <w:sz w:val="24"/>
          <w:szCs w:val="24"/>
        </w:rPr>
        <w:t>he</w:t>
      </w:r>
      <w:r w:rsidR="001324B0" w:rsidRPr="00162FF8">
        <w:rPr>
          <w:rStyle w:val="normaltextrun"/>
          <w:b/>
          <w:bCs/>
          <w:sz w:val="24"/>
          <w:szCs w:val="24"/>
        </w:rPr>
        <w:t xml:space="preserve"> definition of </w:t>
      </w:r>
      <w:r w:rsidR="006278F8" w:rsidRPr="00162FF8">
        <w:rPr>
          <w:rStyle w:val="normaltextrun"/>
          <w:b/>
          <w:bCs/>
          <w:sz w:val="24"/>
          <w:szCs w:val="24"/>
        </w:rPr>
        <w:t>‘</w:t>
      </w:r>
      <w:r w:rsidR="001324B0" w:rsidRPr="00162FF8">
        <w:rPr>
          <w:rStyle w:val="normaltextrun"/>
          <w:b/>
          <w:bCs/>
          <w:sz w:val="24"/>
          <w:szCs w:val="24"/>
        </w:rPr>
        <w:t>merit-based</w:t>
      </w:r>
      <w:r w:rsidR="006278F8" w:rsidRPr="00162FF8">
        <w:rPr>
          <w:rStyle w:val="normaltextrun"/>
          <w:b/>
          <w:bCs/>
          <w:sz w:val="24"/>
          <w:szCs w:val="24"/>
        </w:rPr>
        <w:t>’</w:t>
      </w:r>
      <w:r w:rsidR="001324B0" w:rsidRPr="00162FF8">
        <w:rPr>
          <w:rStyle w:val="normaltextrun"/>
          <w:b/>
          <w:bCs/>
          <w:sz w:val="24"/>
          <w:szCs w:val="24"/>
        </w:rPr>
        <w:t xml:space="preserve"> in clause 4 of</w:t>
      </w:r>
      <w:r w:rsidRPr="00162FF8">
        <w:rPr>
          <w:rStyle w:val="normaltextrun"/>
          <w:b/>
          <w:bCs/>
          <w:sz w:val="24"/>
          <w:szCs w:val="24"/>
        </w:rPr>
        <w:t xml:space="preserve"> the Administrative Review Tribunal Bill 2023 be amended</w:t>
      </w:r>
      <w:r w:rsidR="000C2966" w:rsidRPr="00162FF8">
        <w:rPr>
          <w:rStyle w:val="normaltextrun"/>
          <w:b/>
          <w:bCs/>
          <w:sz w:val="24"/>
          <w:szCs w:val="24"/>
        </w:rPr>
        <w:t xml:space="preserve"> to include </w:t>
      </w:r>
      <w:r w:rsidR="003E433B" w:rsidRPr="00162FF8">
        <w:rPr>
          <w:rStyle w:val="normaltextrun"/>
          <w:b/>
          <w:bCs/>
          <w:sz w:val="24"/>
          <w:szCs w:val="24"/>
        </w:rPr>
        <w:t xml:space="preserve">specific and disaggregated </w:t>
      </w:r>
      <w:r w:rsidR="005552D3" w:rsidRPr="00162FF8">
        <w:rPr>
          <w:rStyle w:val="normaltextrun"/>
          <w:b/>
          <w:bCs/>
          <w:sz w:val="24"/>
          <w:szCs w:val="24"/>
        </w:rPr>
        <w:t xml:space="preserve">employment </w:t>
      </w:r>
      <w:r w:rsidR="003E433B" w:rsidRPr="00162FF8">
        <w:rPr>
          <w:rStyle w:val="normaltextrun"/>
          <w:b/>
          <w:bCs/>
          <w:sz w:val="24"/>
          <w:szCs w:val="24"/>
        </w:rPr>
        <w:t>targets</w:t>
      </w:r>
      <w:r w:rsidR="0030386E" w:rsidRPr="00162FF8">
        <w:rPr>
          <w:rStyle w:val="normaltextrun"/>
          <w:b/>
          <w:bCs/>
          <w:sz w:val="24"/>
          <w:szCs w:val="24"/>
        </w:rPr>
        <w:t xml:space="preserve"> for</w:t>
      </w:r>
      <w:r w:rsidR="00603643" w:rsidRPr="00162FF8">
        <w:rPr>
          <w:rStyle w:val="normaltextrun"/>
          <w:b/>
          <w:bCs/>
          <w:sz w:val="24"/>
          <w:szCs w:val="24"/>
        </w:rPr>
        <w:t xml:space="preserve"> Tribunal Members with lived experience. </w:t>
      </w:r>
      <w:r w:rsidR="00EA0E19" w:rsidRPr="00162FF8">
        <w:rPr>
          <w:rStyle w:val="normaltextrun"/>
          <w:b/>
          <w:bCs/>
          <w:sz w:val="24"/>
          <w:szCs w:val="24"/>
        </w:rPr>
        <w:t xml:space="preserve">These employment targets </w:t>
      </w:r>
      <w:r w:rsidR="00AF4848" w:rsidRPr="00162FF8">
        <w:rPr>
          <w:rStyle w:val="normaltextrun"/>
          <w:b/>
          <w:bCs/>
          <w:sz w:val="24"/>
          <w:szCs w:val="24"/>
        </w:rPr>
        <w:t xml:space="preserve">should align </w:t>
      </w:r>
      <w:r w:rsidR="00E1522F" w:rsidRPr="00162FF8">
        <w:rPr>
          <w:rStyle w:val="normaltextrun"/>
          <w:b/>
          <w:bCs/>
          <w:sz w:val="24"/>
          <w:szCs w:val="24"/>
        </w:rPr>
        <w:t xml:space="preserve">(at least) </w:t>
      </w:r>
      <w:r w:rsidR="00AF4848" w:rsidRPr="00162FF8">
        <w:rPr>
          <w:rStyle w:val="normaltextrun"/>
          <w:b/>
          <w:bCs/>
          <w:sz w:val="24"/>
          <w:szCs w:val="24"/>
        </w:rPr>
        <w:t xml:space="preserve">with APS </w:t>
      </w:r>
      <w:r w:rsidR="007B2E23" w:rsidRPr="00162FF8">
        <w:rPr>
          <w:rStyle w:val="normaltextrun"/>
          <w:b/>
          <w:bCs/>
          <w:sz w:val="24"/>
          <w:szCs w:val="24"/>
        </w:rPr>
        <w:t>employment targets</w:t>
      </w:r>
      <w:r w:rsidR="0045238A" w:rsidRPr="00162FF8">
        <w:rPr>
          <w:rStyle w:val="normaltextrun"/>
          <w:b/>
          <w:bCs/>
          <w:sz w:val="24"/>
          <w:szCs w:val="24"/>
        </w:rPr>
        <w:t xml:space="preserve">, rising to population parity during the term of </w:t>
      </w:r>
      <w:r w:rsidR="0045238A" w:rsidRPr="00162FF8">
        <w:rPr>
          <w:rStyle w:val="normaltextrun"/>
          <w:b/>
          <w:bCs/>
          <w:i/>
          <w:iCs/>
          <w:sz w:val="24"/>
          <w:szCs w:val="24"/>
        </w:rPr>
        <w:t xml:space="preserve">Australia’s </w:t>
      </w:r>
      <w:r w:rsidR="00DA6831" w:rsidRPr="00162FF8">
        <w:rPr>
          <w:rStyle w:val="normaltextrun"/>
          <w:b/>
          <w:bCs/>
          <w:i/>
          <w:iCs/>
          <w:sz w:val="24"/>
          <w:szCs w:val="24"/>
        </w:rPr>
        <w:t>Disability</w:t>
      </w:r>
      <w:r w:rsidR="0045238A" w:rsidRPr="00162FF8">
        <w:rPr>
          <w:rStyle w:val="normaltextrun"/>
          <w:b/>
          <w:bCs/>
          <w:i/>
          <w:iCs/>
          <w:sz w:val="24"/>
          <w:szCs w:val="24"/>
        </w:rPr>
        <w:t xml:space="preserve"> Strategy 2021-2031</w:t>
      </w:r>
      <w:r w:rsidR="0045238A" w:rsidRPr="00162FF8">
        <w:rPr>
          <w:rStyle w:val="normaltextrun"/>
          <w:b/>
          <w:bCs/>
          <w:sz w:val="24"/>
          <w:szCs w:val="24"/>
        </w:rPr>
        <w:t>,</w:t>
      </w:r>
      <w:r w:rsidR="00B63825" w:rsidRPr="00162FF8">
        <w:rPr>
          <w:rStyle w:val="normaltextrun"/>
          <w:b/>
          <w:bCs/>
          <w:sz w:val="24"/>
          <w:szCs w:val="24"/>
        </w:rPr>
        <w:t xml:space="preserve"> and </w:t>
      </w:r>
      <w:r w:rsidR="00521781" w:rsidRPr="00162FF8">
        <w:rPr>
          <w:rStyle w:val="normaltextrun"/>
          <w:b/>
          <w:bCs/>
          <w:sz w:val="24"/>
          <w:szCs w:val="24"/>
        </w:rPr>
        <w:t xml:space="preserve">should </w:t>
      </w:r>
      <w:r w:rsidR="00447008" w:rsidRPr="00162FF8">
        <w:rPr>
          <w:rStyle w:val="normaltextrun"/>
          <w:b/>
          <w:bCs/>
          <w:sz w:val="24"/>
          <w:szCs w:val="24"/>
        </w:rPr>
        <w:t>be tracked</w:t>
      </w:r>
      <w:r w:rsidR="008C7F2A" w:rsidRPr="00162FF8">
        <w:rPr>
          <w:rStyle w:val="normaltextrun"/>
          <w:b/>
          <w:bCs/>
          <w:sz w:val="24"/>
          <w:szCs w:val="24"/>
        </w:rPr>
        <w:t xml:space="preserve"> and publicly reported</w:t>
      </w:r>
      <w:r w:rsidR="00447008" w:rsidRPr="00162FF8">
        <w:rPr>
          <w:rStyle w:val="normaltextrun"/>
          <w:b/>
          <w:bCs/>
          <w:sz w:val="24"/>
          <w:szCs w:val="24"/>
        </w:rPr>
        <w:t xml:space="preserve"> annually</w:t>
      </w:r>
      <w:r w:rsidR="008C7F2A" w:rsidRPr="00162FF8">
        <w:rPr>
          <w:rStyle w:val="normaltextrun"/>
          <w:b/>
          <w:bCs/>
          <w:sz w:val="24"/>
          <w:szCs w:val="24"/>
        </w:rPr>
        <w:t>.</w:t>
      </w:r>
      <w:r w:rsidR="007B2E23" w:rsidRPr="00162FF8">
        <w:rPr>
          <w:rStyle w:val="normaltextrun"/>
          <w:b/>
          <w:bCs/>
          <w:sz w:val="24"/>
          <w:szCs w:val="24"/>
        </w:rPr>
        <w:t xml:space="preserve"> </w:t>
      </w:r>
      <w:r w:rsidR="0030386E" w:rsidRPr="00162FF8">
        <w:rPr>
          <w:rStyle w:val="normaltextrun"/>
          <w:b/>
          <w:bCs/>
          <w:sz w:val="24"/>
          <w:szCs w:val="24"/>
        </w:rPr>
        <w:t xml:space="preserve"> </w:t>
      </w:r>
      <w:r w:rsidR="003E433B" w:rsidRPr="00162FF8">
        <w:rPr>
          <w:rStyle w:val="normaltextrun"/>
          <w:b/>
          <w:bCs/>
          <w:sz w:val="24"/>
          <w:szCs w:val="24"/>
        </w:rPr>
        <w:t xml:space="preserve"> </w:t>
      </w:r>
    </w:p>
    <w:p w14:paraId="17C3C9AA" w14:textId="77777777" w:rsidR="00162FF8" w:rsidRDefault="00162FF8" w:rsidP="2C561418">
      <w:pPr>
        <w:pStyle w:val="Heading1"/>
        <w:keepNext w:val="0"/>
        <w:keepLines w:val="0"/>
        <w:spacing w:line="360" w:lineRule="auto"/>
        <w:rPr>
          <w:rStyle w:val="normaltextrun"/>
          <w:rFonts w:cstheme="minorBidi"/>
          <w:color w:val="522E91"/>
          <w:sz w:val="28"/>
          <w:szCs w:val="28"/>
          <w:shd w:val="clear" w:color="auto" w:fill="FFFFFF"/>
        </w:rPr>
      </w:pPr>
    </w:p>
    <w:p w14:paraId="2C10DAB1" w14:textId="377B7EFF" w:rsidR="009E41CB" w:rsidRPr="00162FF8" w:rsidRDefault="000E437B" w:rsidP="2C561418">
      <w:pPr>
        <w:pStyle w:val="Heading1"/>
        <w:keepNext w:val="0"/>
        <w:keepLines w:val="0"/>
        <w:spacing w:line="360" w:lineRule="auto"/>
        <w:rPr>
          <w:rStyle w:val="normaltextrun"/>
          <w:rFonts w:cstheme="minorBidi"/>
          <w:color w:val="522E91"/>
          <w:sz w:val="28"/>
          <w:szCs w:val="28"/>
          <w:shd w:val="clear" w:color="auto" w:fill="FFFFFF"/>
        </w:rPr>
      </w:pPr>
      <w:bookmarkStart w:id="8" w:name="_Toc156546022"/>
      <w:r w:rsidRPr="00162FF8">
        <w:rPr>
          <w:rStyle w:val="normaltextrun"/>
          <w:rFonts w:cstheme="minorBidi"/>
          <w:color w:val="522E91"/>
          <w:sz w:val="28"/>
          <w:szCs w:val="28"/>
          <w:shd w:val="clear" w:color="auto" w:fill="FFFFFF"/>
        </w:rPr>
        <w:t xml:space="preserve">6. </w:t>
      </w:r>
      <w:r w:rsidR="009E41CB" w:rsidRPr="00162FF8">
        <w:rPr>
          <w:rStyle w:val="normaltextrun"/>
          <w:rFonts w:cstheme="minorBidi"/>
          <w:color w:val="522E91"/>
          <w:sz w:val="28"/>
          <w:szCs w:val="28"/>
          <w:shd w:val="clear" w:color="auto" w:fill="FFFFFF"/>
        </w:rPr>
        <w:t>Accessible and Inclusive Communication</w:t>
      </w:r>
      <w:bookmarkEnd w:id="8"/>
      <w:r w:rsidR="009E41CB" w:rsidRPr="00162FF8">
        <w:rPr>
          <w:rStyle w:val="normaltextrun"/>
          <w:rFonts w:cstheme="minorBidi"/>
          <w:color w:val="522E91"/>
          <w:sz w:val="28"/>
          <w:szCs w:val="28"/>
          <w:shd w:val="clear" w:color="auto" w:fill="FFFFFF"/>
        </w:rPr>
        <w:t xml:space="preserve"> </w:t>
      </w:r>
    </w:p>
    <w:p w14:paraId="123814B8" w14:textId="648D22A7" w:rsidR="004E1F3E" w:rsidRPr="00146C13" w:rsidRDefault="001F6B79" w:rsidP="0E887DD2">
      <w:pPr>
        <w:spacing w:line="360" w:lineRule="auto"/>
        <w:rPr>
          <w:color w:val="000000"/>
          <w:sz w:val="24"/>
          <w:szCs w:val="24"/>
        </w:rPr>
      </w:pPr>
      <w:r w:rsidRPr="0E887DD2">
        <w:rPr>
          <w:sz w:val="24"/>
          <w:szCs w:val="24"/>
          <w:lang w:val="en-US"/>
        </w:rPr>
        <w:t xml:space="preserve">Given the </w:t>
      </w:r>
      <w:r w:rsidR="00C0294E" w:rsidRPr="0E887DD2">
        <w:rPr>
          <w:sz w:val="24"/>
          <w:szCs w:val="24"/>
          <w:lang w:val="en-US"/>
        </w:rPr>
        <w:t xml:space="preserve">quantity of engagements and communications that the new ART will have with people living with disability, it is imperative that </w:t>
      </w:r>
      <w:r w:rsidR="00AB4C1E" w:rsidRPr="0E887DD2">
        <w:rPr>
          <w:sz w:val="24"/>
          <w:szCs w:val="24"/>
          <w:lang w:val="en-US"/>
        </w:rPr>
        <w:t>all communications</w:t>
      </w:r>
      <w:r w:rsidR="00A024D9" w:rsidRPr="0E887DD2">
        <w:rPr>
          <w:sz w:val="24"/>
          <w:szCs w:val="24"/>
          <w:lang w:val="en-US"/>
        </w:rPr>
        <w:t xml:space="preserve"> from the Tribunal, beginning with the</w:t>
      </w:r>
      <w:r w:rsidR="00AB4C1E" w:rsidRPr="0E887DD2">
        <w:rPr>
          <w:sz w:val="24"/>
          <w:szCs w:val="24"/>
          <w:lang w:val="en-US"/>
        </w:rPr>
        <w:t xml:space="preserve"> lodgment of </w:t>
      </w:r>
      <w:r w:rsidR="00A024D9" w:rsidRPr="0E887DD2">
        <w:rPr>
          <w:sz w:val="24"/>
          <w:szCs w:val="24"/>
          <w:lang w:val="en-US"/>
        </w:rPr>
        <w:t xml:space="preserve">an </w:t>
      </w:r>
      <w:r w:rsidR="00AB4C1E" w:rsidRPr="0E887DD2">
        <w:rPr>
          <w:sz w:val="24"/>
          <w:szCs w:val="24"/>
          <w:lang w:val="en-US"/>
        </w:rPr>
        <w:t xml:space="preserve">application </w:t>
      </w:r>
      <w:r w:rsidR="00A024D9" w:rsidRPr="0E887DD2">
        <w:rPr>
          <w:sz w:val="24"/>
          <w:szCs w:val="24"/>
          <w:lang w:val="en-US"/>
        </w:rPr>
        <w:t>and ending with the</w:t>
      </w:r>
      <w:r w:rsidR="00AB4C1E" w:rsidRPr="0E887DD2">
        <w:rPr>
          <w:sz w:val="24"/>
          <w:szCs w:val="24"/>
          <w:lang w:val="en-US"/>
        </w:rPr>
        <w:t xml:space="preserve"> receipt of reasons for</w:t>
      </w:r>
      <w:r w:rsidR="00A024D9" w:rsidRPr="0E887DD2">
        <w:rPr>
          <w:sz w:val="24"/>
          <w:szCs w:val="24"/>
          <w:lang w:val="en-US"/>
        </w:rPr>
        <w:t xml:space="preserve"> a</w:t>
      </w:r>
      <w:r w:rsidR="00AB4C1E" w:rsidRPr="0E887DD2">
        <w:rPr>
          <w:sz w:val="24"/>
          <w:szCs w:val="24"/>
          <w:lang w:val="en-US"/>
        </w:rPr>
        <w:t xml:space="preserve"> decision and</w:t>
      </w:r>
      <w:r w:rsidR="00A024D9" w:rsidRPr="0E887DD2">
        <w:rPr>
          <w:sz w:val="24"/>
          <w:szCs w:val="24"/>
          <w:lang w:val="en-US"/>
        </w:rPr>
        <w:t>/or</w:t>
      </w:r>
      <w:r w:rsidR="00AB4C1E" w:rsidRPr="0E887DD2">
        <w:rPr>
          <w:sz w:val="24"/>
          <w:szCs w:val="24"/>
          <w:lang w:val="en-US"/>
        </w:rPr>
        <w:t xml:space="preserve"> appeal rights, are </w:t>
      </w:r>
      <w:r w:rsidR="00A10A74" w:rsidRPr="0E887DD2">
        <w:rPr>
          <w:sz w:val="24"/>
          <w:szCs w:val="24"/>
          <w:lang w:val="en-US"/>
        </w:rPr>
        <w:t xml:space="preserve">accessible, in the broadest conception of that term. </w:t>
      </w:r>
      <w:r w:rsidR="00823169" w:rsidRPr="0E887DD2">
        <w:rPr>
          <w:sz w:val="24"/>
          <w:szCs w:val="24"/>
          <w:lang w:val="en-US"/>
        </w:rPr>
        <w:t xml:space="preserve">As </w:t>
      </w:r>
      <w:r w:rsidR="00823169" w:rsidRPr="0E887DD2">
        <w:rPr>
          <w:color w:val="000000"/>
          <w:sz w:val="24"/>
          <w:szCs w:val="24"/>
        </w:rPr>
        <w:t>Dr Ariella Meltzer, Research Fellow at the Centre for Social Impact, University of New South Wales</w:t>
      </w:r>
      <w:r w:rsidR="005C03E7" w:rsidRPr="0E887DD2">
        <w:rPr>
          <w:color w:val="000000"/>
          <w:sz w:val="24"/>
          <w:szCs w:val="24"/>
        </w:rPr>
        <w:t>,</w:t>
      </w:r>
      <w:r w:rsidR="00823169" w:rsidRPr="0E887DD2">
        <w:rPr>
          <w:color w:val="000000"/>
          <w:sz w:val="24"/>
          <w:szCs w:val="24"/>
        </w:rPr>
        <w:t xml:space="preserve"> told the DRC, </w:t>
      </w:r>
      <w:r w:rsidR="0049354A" w:rsidRPr="0E887DD2">
        <w:rPr>
          <w:color w:val="000000"/>
          <w:sz w:val="24"/>
          <w:szCs w:val="24"/>
        </w:rPr>
        <w:t xml:space="preserve">accessibility encompasses visual and print accessibility, web accessibility, </w:t>
      </w:r>
      <w:r w:rsidR="00790F92" w:rsidRPr="0E887DD2">
        <w:rPr>
          <w:color w:val="000000"/>
          <w:sz w:val="24"/>
          <w:szCs w:val="24"/>
        </w:rPr>
        <w:t>conceptual accessibility, as well as AUSLAN and alternative and augmented communications system</w:t>
      </w:r>
      <w:r w:rsidR="00982642" w:rsidRPr="0E887DD2">
        <w:rPr>
          <w:color w:val="000000"/>
          <w:sz w:val="24"/>
          <w:szCs w:val="24"/>
        </w:rPr>
        <w:t xml:space="preserve"> needs.</w:t>
      </w:r>
      <w:r w:rsidR="00FF7B7F" w:rsidRPr="0E887DD2">
        <w:rPr>
          <w:rStyle w:val="FootnoteReference"/>
          <w:color w:val="000000"/>
          <w:sz w:val="24"/>
          <w:szCs w:val="24"/>
        </w:rPr>
        <w:footnoteReference w:id="16"/>
      </w:r>
      <w:r w:rsidR="00982642" w:rsidRPr="0E887DD2">
        <w:rPr>
          <w:color w:val="000000"/>
          <w:sz w:val="24"/>
          <w:szCs w:val="24"/>
        </w:rPr>
        <w:t xml:space="preserve"> </w:t>
      </w:r>
    </w:p>
    <w:p w14:paraId="4F491E8D" w14:textId="2E8B4361" w:rsidR="00726D3B" w:rsidRPr="003E6EEA" w:rsidRDefault="000E437B" w:rsidP="0E887DD2">
      <w:pPr>
        <w:pStyle w:val="Heading2"/>
        <w:keepNext w:val="0"/>
        <w:keepLines w:val="0"/>
        <w:spacing w:line="360" w:lineRule="auto"/>
        <w:rPr>
          <w:color w:val="7030A0"/>
        </w:rPr>
      </w:pPr>
      <w:bookmarkStart w:id="9" w:name="_Toc156546023"/>
      <w:r>
        <w:rPr>
          <w:color w:val="7030A0"/>
        </w:rPr>
        <w:t xml:space="preserve">6.1 </w:t>
      </w:r>
      <w:r w:rsidR="00726D3B" w:rsidRPr="2C561418">
        <w:rPr>
          <w:color w:val="7030A0"/>
        </w:rPr>
        <w:t>Fully Accessible</w:t>
      </w:r>
      <w:bookmarkEnd w:id="9"/>
    </w:p>
    <w:p w14:paraId="1B4CBA22" w14:textId="50402A73" w:rsidR="00CB232C" w:rsidRPr="00146C13" w:rsidRDefault="00917801" w:rsidP="0E887DD2">
      <w:pPr>
        <w:spacing w:line="360" w:lineRule="auto"/>
        <w:rPr>
          <w:color w:val="000000"/>
          <w:sz w:val="24"/>
          <w:szCs w:val="24"/>
        </w:rPr>
      </w:pPr>
      <w:r w:rsidRPr="0E887DD2">
        <w:rPr>
          <w:color w:val="000000"/>
          <w:sz w:val="24"/>
          <w:szCs w:val="24"/>
        </w:rPr>
        <w:t>C</w:t>
      </w:r>
      <w:r w:rsidR="00FF7B7F" w:rsidRPr="0E887DD2">
        <w:rPr>
          <w:color w:val="000000"/>
          <w:sz w:val="24"/>
          <w:szCs w:val="24"/>
        </w:rPr>
        <w:t>lause 4</w:t>
      </w:r>
      <w:r w:rsidR="004D02E2" w:rsidRPr="0E887DD2">
        <w:rPr>
          <w:color w:val="000000"/>
          <w:sz w:val="24"/>
          <w:szCs w:val="24"/>
        </w:rPr>
        <w:t xml:space="preserve">, sub clause </w:t>
      </w:r>
      <w:r w:rsidR="00AA0629" w:rsidRPr="0E887DD2">
        <w:rPr>
          <w:color w:val="000000"/>
          <w:sz w:val="24"/>
          <w:szCs w:val="24"/>
        </w:rPr>
        <w:t xml:space="preserve">b) and c) of </w:t>
      </w:r>
      <w:r w:rsidR="004D02E2" w:rsidRPr="0E887DD2">
        <w:rPr>
          <w:color w:val="000000"/>
          <w:sz w:val="24"/>
          <w:szCs w:val="24"/>
        </w:rPr>
        <w:t xml:space="preserve">the </w:t>
      </w:r>
      <w:r w:rsidR="00AA0629" w:rsidRPr="0E887DD2">
        <w:rPr>
          <w:color w:val="000000"/>
          <w:sz w:val="24"/>
          <w:szCs w:val="24"/>
        </w:rPr>
        <w:t>accessible definition address</w:t>
      </w:r>
      <w:r w:rsidRPr="0E887DD2">
        <w:rPr>
          <w:color w:val="000000"/>
          <w:sz w:val="24"/>
          <w:szCs w:val="24"/>
        </w:rPr>
        <w:t>es</w:t>
      </w:r>
      <w:r w:rsidR="004D02E2" w:rsidRPr="0E887DD2">
        <w:rPr>
          <w:color w:val="000000"/>
          <w:sz w:val="24"/>
          <w:szCs w:val="24"/>
        </w:rPr>
        <w:t xml:space="preserve"> the</w:t>
      </w:r>
      <w:r w:rsidR="00AA0629" w:rsidRPr="0E887DD2">
        <w:rPr>
          <w:color w:val="000000"/>
          <w:sz w:val="24"/>
          <w:szCs w:val="24"/>
        </w:rPr>
        <w:t xml:space="preserve"> ease of understanding information and reasonable adjustments more broadly</w:t>
      </w:r>
      <w:r w:rsidRPr="0E887DD2">
        <w:rPr>
          <w:color w:val="000000"/>
          <w:sz w:val="24"/>
          <w:szCs w:val="24"/>
        </w:rPr>
        <w:t>,</w:t>
      </w:r>
      <w:r w:rsidR="00CA225F" w:rsidRPr="0E887DD2">
        <w:rPr>
          <w:color w:val="000000"/>
          <w:sz w:val="24"/>
          <w:szCs w:val="24"/>
        </w:rPr>
        <w:t xml:space="preserve"> and</w:t>
      </w:r>
      <w:r w:rsidR="00982642" w:rsidRPr="0E887DD2">
        <w:rPr>
          <w:color w:val="000000"/>
          <w:sz w:val="24"/>
          <w:szCs w:val="24"/>
        </w:rPr>
        <w:t xml:space="preserve"> cl</w:t>
      </w:r>
      <w:r w:rsidR="00203246" w:rsidRPr="0E887DD2">
        <w:rPr>
          <w:color w:val="000000"/>
          <w:sz w:val="24"/>
          <w:szCs w:val="24"/>
        </w:rPr>
        <w:t>ause</w:t>
      </w:r>
      <w:r w:rsidR="00982642" w:rsidRPr="0E887DD2">
        <w:rPr>
          <w:color w:val="000000"/>
          <w:sz w:val="24"/>
          <w:szCs w:val="24"/>
        </w:rPr>
        <w:t xml:space="preserve"> 68 of the Bill provide</w:t>
      </w:r>
      <w:r w:rsidRPr="0E887DD2">
        <w:rPr>
          <w:color w:val="000000"/>
          <w:sz w:val="24"/>
          <w:szCs w:val="24"/>
        </w:rPr>
        <w:t>s</w:t>
      </w:r>
      <w:r w:rsidR="00982642" w:rsidRPr="0E887DD2">
        <w:rPr>
          <w:color w:val="000000"/>
          <w:sz w:val="24"/>
          <w:szCs w:val="24"/>
        </w:rPr>
        <w:t xml:space="preserve"> for the</w:t>
      </w:r>
      <w:r w:rsidR="00556388" w:rsidRPr="0E887DD2">
        <w:rPr>
          <w:color w:val="000000"/>
          <w:sz w:val="24"/>
          <w:szCs w:val="24"/>
        </w:rPr>
        <w:t xml:space="preserve"> appointment of interpreters by the Tribunal</w:t>
      </w:r>
      <w:r w:rsidRPr="0E887DD2">
        <w:rPr>
          <w:color w:val="000000"/>
          <w:sz w:val="24"/>
          <w:szCs w:val="24"/>
        </w:rPr>
        <w:t>. However</w:t>
      </w:r>
      <w:r w:rsidR="001A7E4E" w:rsidRPr="0E887DD2">
        <w:rPr>
          <w:color w:val="000000"/>
          <w:sz w:val="24"/>
          <w:szCs w:val="24"/>
        </w:rPr>
        <w:t xml:space="preserve">, </w:t>
      </w:r>
      <w:r w:rsidR="00F010DD" w:rsidRPr="0E887DD2">
        <w:rPr>
          <w:color w:val="000000"/>
          <w:sz w:val="24"/>
          <w:szCs w:val="24"/>
        </w:rPr>
        <w:t xml:space="preserve">given </w:t>
      </w:r>
      <w:r w:rsidR="00A16321" w:rsidRPr="0E887DD2">
        <w:rPr>
          <w:color w:val="000000"/>
          <w:sz w:val="24"/>
          <w:szCs w:val="24"/>
        </w:rPr>
        <w:t>Australia’s international obligations under the UNCRPD and the</w:t>
      </w:r>
      <w:r w:rsidR="00F010DD" w:rsidRPr="0E887DD2">
        <w:rPr>
          <w:color w:val="000000"/>
          <w:sz w:val="24"/>
          <w:szCs w:val="24"/>
        </w:rPr>
        <w:t xml:space="preserve"> recommendations of the DRC in Volumes 4 and 6 of their Final Report, </w:t>
      </w:r>
      <w:r w:rsidR="00450E54" w:rsidRPr="0E887DD2">
        <w:rPr>
          <w:color w:val="000000"/>
          <w:sz w:val="24"/>
          <w:szCs w:val="24"/>
        </w:rPr>
        <w:t xml:space="preserve">as well as </w:t>
      </w:r>
      <w:r w:rsidR="00F010DD" w:rsidRPr="0E887DD2">
        <w:rPr>
          <w:color w:val="000000"/>
          <w:sz w:val="24"/>
          <w:szCs w:val="24"/>
        </w:rPr>
        <w:t>the consequences for parties</w:t>
      </w:r>
      <w:r w:rsidR="00BA75D6" w:rsidRPr="0E887DD2">
        <w:rPr>
          <w:color w:val="000000"/>
          <w:sz w:val="24"/>
          <w:szCs w:val="24"/>
        </w:rPr>
        <w:t xml:space="preserve"> when </w:t>
      </w:r>
      <w:r w:rsidR="00BA75D6" w:rsidRPr="0E887DD2">
        <w:rPr>
          <w:color w:val="000000"/>
          <w:sz w:val="24"/>
          <w:szCs w:val="24"/>
        </w:rPr>
        <w:lastRenderedPageBreak/>
        <w:t>communications are not accessible</w:t>
      </w:r>
      <w:r w:rsidR="00EA5F5D" w:rsidRPr="0E887DD2">
        <w:rPr>
          <w:color w:val="000000"/>
          <w:sz w:val="24"/>
          <w:szCs w:val="24"/>
        </w:rPr>
        <w:t xml:space="preserve">, particularly when </w:t>
      </w:r>
      <w:r w:rsidR="00C7083A" w:rsidRPr="0E887DD2">
        <w:rPr>
          <w:color w:val="000000"/>
          <w:sz w:val="24"/>
          <w:szCs w:val="24"/>
        </w:rPr>
        <w:t>intersectionality</w:t>
      </w:r>
      <w:r w:rsidR="00C7083A" w:rsidRPr="0E887DD2">
        <w:rPr>
          <w:rStyle w:val="FootnoteReference"/>
          <w:color w:val="000000"/>
          <w:sz w:val="24"/>
          <w:szCs w:val="24"/>
        </w:rPr>
        <w:footnoteReference w:id="17"/>
      </w:r>
      <w:r w:rsidR="00041124" w:rsidRPr="0E887DD2">
        <w:rPr>
          <w:color w:val="000000"/>
          <w:sz w:val="24"/>
          <w:szCs w:val="24"/>
        </w:rPr>
        <w:t xml:space="preserve"> is </w:t>
      </w:r>
      <w:proofErr w:type="gramStart"/>
      <w:r w:rsidR="00041124" w:rsidRPr="0E887DD2">
        <w:rPr>
          <w:color w:val="000000"/>
          <w:sz w:val="24"/>
          <w:szCs w:val="24"/>
        </w:rPr>
        <w:t>present</w:t>
      </w:r>
      <w:r w:rsidR="00C7083A" w:rsidRPr="0E887DD2">
        <w:rPr>
          <w:color w:val="000000"/>
          <w:sz w:val="24"/>
          <w:szCs w:val="24"/>
        </w:rPr>
        <w:t>,</w:t>
      </w:r>
      <w:r w:rsidR="00F010DD" w:rsidRPr="0E887DD2">
        <w:rPr>
          <w:color w:val="000000"/>
          <w:sz w:val="24"/>
          <w:szCs w:val="24"/>
        </w:rPr>
        <w:t xml:space="preserve"> </w:t>
      </w:r>
      <w:r w:rsidR="31C7ED60" w:rsidRPr="0E887DD2">
        <w:rPr>
          <w:color w:val="000000"/>
          <w:sz w:val="24"/>
          <w:szCs w:val="24"/>
        </w:rPr>
        <w:t xml:space="preserve"> f</w:t>
      </w:r>
      <w:r w:rsidR="00AB714A" w:rsidRPr="0E887DD2">
        <w:rPr>
          <w:color w:val="000000"/>
          <w:sz w:val="24"/>
          <w:szCs w:val="24"/>
        </w:rPr>
        <w:t>urther</w:t>
      </w:r>
      <w:proofErr w:type="gramEnd"/>
      <w:r w:rsidR="00AB714A" w:rsidRPr="0E887DD2">
        <w:rPr>
          <w:color w:val="000000"/>
          <w:sz w:val="24"/>
          <w:szCs w:val="24"/>
        </w:rPr>
        <w:t xml:space="preserve"> clarity and precision within </w:t>
      </w:r>
      <w:r w:rsidR="0085231A" w:rsidRPr="0E887DD2">
        <w:rPr>
          <w:color w:val="000000"/>
          <w:sz w:val="24"/>
          <w:szCs w:val="24"/>
        </w:rPr>
        <w:t>the Bill</w:t>
      </w:r>
      <w:r w:rsidR="00AB714A" w:rsidRPr="0E887DD2">
        <w:rPr>
          <w:color w:val="000000"/>
          <w:sz w:val="24"/>
          <w:szCs w:val="24"/>
        </w:rPr>
        <w:t xml:space="preserve"> </w:t>
      </w:r>
      <w:r w:rsidR="00450E54" w:rsidRPr="0E887DD2">
        <w:rPr>
          <w:color w:val="000000"/>
          <w:sz w:val="24"/>
          <w:szCs w:val="24"/>
        </w:rPr>
        <w:t>is recommended.</w:t>
      </w:r>
    </w:p>
    <w:p w14:paraId="5811AAE7" w14:textId="6C802757" w:rsidR="00AB36A9" w:rsidRPr="00146C13" w:rsidRDefault="00C7531A" w:rsidP="0E887DD2">
      <w:pPr>
        <w:pStyle w:val="Default"/>
        <w:spacing w:line="360" w:lineRule="auto"/>
        <w:rPr>
          <w:rFonts w:asciiTheme="minorHAnsi" w:hAnsiTheme="minorHAnsi" w:cstheme="minorBidi"/>
        </w:rPr>
      </w:pPr>
      <w:r w:rsidRPr="0E887DD2">
        <w:rPr>
          <w:rFonts w:asciiTheme="minorHAnsi" w:hAnsiTheme="minorHAnsi" w:cstheme="minorBidi"/>
        </w:rPr>
        <w:t xml:space="preserve">In official interactions, such as communications from the new ART, </w:t>
      </w:r>
      <w:r w:rsidR="00203246" w:rsidRPr="0E887DD2">
        <w:rPr>
          <w:rFonts w:asciiTheme="minorHAnsi" w:hAnsiTheme="minorHAnsi" w:cstheme="minorBidi"/>
        </w:rPr>
        <w:t xml:space="preserve">Australia is obliged under </w:t>
      </w:r>
      <w:r w:rsidR="00A842F9" w:rsidRPr="0E887DD2">
        <w:rPr>
          <w:rFonts w:asciiTheme="minorHAnsi" w:hAnsiTheme="minorHAnsi" w:cstheme="minorBidi"/>
        </w:rPr>
        <w:t>article 21 of UNCRPD, to</w:t>
      </w:r>
      <w:r w:rsidRPr="0E887DD2">
        <w:rPr>
          <w:rFonts w:asciiTheme="minorHAnsi" w:hAnsiTheme="minorHAnsi" w:cstheme="minorBidi"/>
        </w:rPr>
        <w:t xml:space="preserve"> </w:t>
      </w:r>
      <w:r w:rsidR="00BE369C" w:rsidRPr="0E887DD2">
        <w:rPr>
          <w:rFonts w:asciiTheme="minorHAnsi" w:hAnsiTheme="minorHAnsi" w:cstheme="minorBidi"/>
        </w:rPr>
        <w:t>‘accept and facilitate the use of sign languages, braille, augmentative and alternative communication, and all other accessible means, modes and formats of communication that people with disability may choose’.</w:t>
      </w:r>
      <w:r w:rsidR="00301697" w:rsidRPr="0E887DD2">
        <w:rPr>
          <w:rStyle w:val="FootnoteReference"/>
          <w:rFonts w:asciiTheme="minorHAnsi" w:hAnsiTheme="minorHAnsi" w:cstheme="minorBidi"/>
        </w:rPr>
        <w:footnoteReference w:id="18"/>
      </w:r>
      <w:r w:rsidR="00BE369C" w:rsidRPr="0E887DD2">
        <w:rPr>
          <w:rFonts w:asciiTheme="minorHAnsi" w:hAnsiTheme="minorHAnsi" w:cstheme="minorBidi"/>
        </w:rPr>
        <w:t xml:space="preserve"> While it is acknowledged </w:t>
      </w:r>
      <w:r w:rsidR="001408CA" w:rsidRPr="0E887DD2">
        <w:rPr>
          <w:rFonts w:asciiTheme="minorHAnsi" w:hAnsiTheme="minorHAnsi" w:cstheme="minorBidi"/>
        </w:rPr>
        <w:t>that clauses 4 and 68 are sufficiently broadly phrased to allow the facilitation of such mod</w:t>
      </w:r>
      <w:r w:rsidR="00427334" w:rsidRPr="0E887DD2">
        <w:rPr>
          <w:rFonts w:asciiTheme="minorHAnsi" w:hAnsiTheme="minorHAnsi" w:cstheme="minorBidi"/>
        </w:rPr>
        <w:t>e</w:t>
      </w:r>
      <w:r w:rsidR="001408CA" w:rsidRPr="0E887DD2">
        <w:rPr>
          <w:rFonts w:asciiTheme="minorHAnsi" w:hAnsiTheme="minorHAnsi" w:cstheme="minorBidi"/>
        </w:rPr>
        <w:t xml:space="preserve">s of communication, they are arguably not sufficiently precise to </w:t>
      </w:r>
      <w:r w:rsidR="00E86CB0" w:rsidRPr="0E887DD2">
        <w:rPr>
          <w:rFonts w:asciiTheme="minorHAnsi" w:hAnsiTheme="minorHAnsi" w:cstheme="minorBidi"/>
        </w:rPr>
        <w:t>mandate the</w:t>
      </w:r>
      <w:r w:rsidR="001E6BCF" w:rsidRPr="0E887DD2">
        <w:rPr>
          <w:rFonts w:asciiTheme="minorHAnsi" w:hAnsiTheme="minorHAnsi" w:cstheme="minorBidi"/>
        </w:rPr>
        <w:t>ir</w:t>
      </w:r>
      <w:r w:rsidR="00E86CB0" w:rsidRPr="0E887DD2">
        <w:rPr>
          <w:rFonts w:asciiTheme="minorHAnsi" w:hAnsiTheme="minorHAnsi" w:cstheme="minorBidi"/>
        </w:rPr>
        <w:t xml:space="preserve"> provision</w:t>
      </w:r>
      <w:r w:rsidR="00D4499C" w:rsidRPr="0E887DD2">
        <w:rPr>
          <w:rFonts w:asciiTheme="minorHAnsi" w:hAnsiTheme="minorHAnsi" w:cstheme="minorBidi"/>
        </w:rPr>
        <w:t>.</w:t>
      </w:r>
      <w:r w:rsidR="00CC0F56" w:rsidRPr="0E887DD2">
        <w:rPr>
          <w:rFonts w:asciiTheme="minorHAnsi" w:hAnsiTheme="minorHAnsi" w:cstheme="minorBidi"/>
        </w:rPr>
        <w:t xml:space="preserve"> </w:t>
      </w:r>
    </w:p>
    <w:p w14:paraId="21BC61F4" w14:textId="47DEA083" w:rsidR="00BE369C" w:rsidRDefault="00CC0F56" w:rsidP="0E887DD2">
      <w:pPr>
        <w:pStyle w:val="Default"/>
        <w:spacing w:line="360" w:lineRule="auto"/>
        <w:rPr>
          <w:rFonts w:asciiTheme="minorHAnsi" w:hAnsiTheme="minorHAnsi" w:cstheme="minorBidi"/>
        </w:rPr>
      </w:pPr>
      <w:r w:rsidRPr="0E887DD2">
        <w:rPr>
          <w:rFonts w:asciiTheme="minorHAnsi" w:hAnsiTheme="minorHAnsi" w:cstheme="minorBidi"/>
        </w:rPr>
        <w:t>Greater precision is justified, particularly given that the UNCRPD Committee, in 2019, found that</w:t>
      </w:r>
      <w:r w:rsidR="00B34877" w:rsidRPr="0E887DD2">
        <w:rPr>
          <w:rFonts w:asciiTheme="minorHAnsi" w:hAnsiTheme="minorHAnsi" w:cstheme="minorBidi"/>
        </w:rPr>
        <w:t xml:space="preserve"> “aside from a provision under the </w:t>
      </w:r>
      <w:r w:rsidR="00B34877" w:rsidRPr="0E887DD2">
        <w:rPr>
          <w:rFonts w:asciiTheme="minorHAnsi" w:hAnsiTheme="minorHAnsi" w:cstheme="minorBidi"/>
          <w:i/>
          <w:iCs/>
        </w:rPr>
        <w:t xml:space="preserve">Disability Discrimination Act 1992 </w:t>
      </w:r>
      <w:r w:rsidR="00B34877" w:rsidRPr="0E887DD2">
        <w:rPr>
          <w:rFonts w:asciiTheme="minorHAnsi" w:hAnsiTheme="minorHAnsi" w:cstheme="minorBidi"/>
        </w:rPr>
        <w:t>(</w:t>
      </w:r>
      <w:proofErr w:type="spellStart"/>
      <w:r w:rsidR="00B34877" w:rsidRPr="0E887DD2">
        <w:rPr>
          <w:rFonts w:asciiTheme="minorHAnsi" w:hAnsiTheme="minorHAnsi" w:cstheme="minorBidi"/>
        </w:rPr>
        <w:t>Cth</w:t>
      </w:r>
      <w:proofErr w:type="spellEnd"/>
      <w:r w:rsidR="00B34877" w:rsidRPr="0E887DD2">
        <w:rPr>
          <w:rFonts w:asciiTheme="minorHAnsi" w:hAnsiTheme="minorHAnsi" w:cstheme="minorBidi"/>
        </w:rPr>
        <w:t>) (</w:t>
      </w:r>
      <w:r w:rsidR="00B34877" w:rsidRPr="0E887DD2">
        <w:rPr>
          <w:rFonts w:asciiTheme="minorHAnsi" w:hAnsiTheme="minorHAnsi" w:cstheme="minorBidi"/>
          <w:i/>
          <w:iCs/>
        </w:rPr>
        <w:t>DDA</w:t>
      </w:r>
      <w:r w:rsidR="00B34877" w:rsidRPr="0E887DD2">
        <w:rPr>
          <w:rFonts w:asciiTheme="minorHAnsi" w:hAnsiTheme="minorHAnsi" w:cstheme="minorBidi"/>
        </w:rPr>
        <w:t>), there are no legally binding information and communications standards requiring information to be fully accessible to people with disability.”</w:t>
      </w:r>
      <w:r w:rsidR="00912BE3" w:rsidRPr="0E887DD2">
        <w:rPr>
          <w:rStyle w:val="FootnoteReference"/>
          <w:rFonts w:asciiTheme="minorHAnsi" w:hAnsiTheme="minorHAnsi" w:cstheme="minorBidi"/>
        </w:rPr>
        <w:footnoteReference w:id="19"/>
      </w:r>
      <w:r w:rsidR="00D634DD" w:rsidRPr="0E887DD2">
        <w:rPr>
          <w:rFonts w:asciiTheme="minorHAnsi" w:hAnsiTheme="minorHAnsi" w:cstheme="minorBidi"/>
        </w:rPr>
        <w:t xml:space="preserve"> </w:t>
      </w:r>
      <w:r w:rsidR="000818E2" w:rsidRPr="0E887DD2">
        <w:rPr>
          <w:rFonts w:asciiTheme="minorHAnsi" w:hAnsiTheme="minorHAnsi" w:cstheme="minorBidi"/>
        </w:rPr>
        <w:t xml:space="preserve">For the ART to play its part in complying with the </w:t>
      </w:r>
      <w:r w:rsidR="00A93185" w:rsidRPr="0E887DD2">
        <w:rPr>
          <w:rFonts w:asciiTheme="minorHAnsi" w:hAnsiTheme="minorHAnsi" w:cstheme="minorBidi"/>
        </w:rPr>
        <w:t>UN</w:t>
      </w:r>
      <w:r w:rsidR="000818E2" w:rsidRPr="0E887DD2">
        <w:rPr>
          <w:rFonts w:asciiTheme="minorHAnsi" w:hAnsiTheme="minorHAnsi" w:cstheme="minorBidi"/>
        </w:rPr>
        <w:t>CRPD, clause 4</w:t>
      </w:r>
      <w:r w:rsidR="00817498" w:rsidRPr="0E887DD2">
        <w:rPr>
          <w:rFonts w:asciiTheme="minorHAnsi" w:hAnsiTheme="minorHAnsi" w:cstheme="minorBidi"/>
        </w:rPr>
        <w:t>,</w:t>
      </w:r>
      <w:r w:rsidR="000818E2" w:rsidRPr="0E887DD2">
        <w:rPr>
          <w:rFonts w:asciiTheme="minorHAnsi" w:hAnsiTheme="minorHAnsi" w:cstheme="minorBidi"/>
        </w:rPr>
        <w:t xml:space="preserve"> </w:t>
      </w:r>
      <w:r w:rsidR="005019ED" w:rsidRPr="0E887DD2">
        <w:rPr>
          <w:rFonts w:asciiTheme="minorHAnsi" w:hAnsiTheme="minorHAnsi" w:cstheme="minorBidi"/>
        </w:rPr>
        <w:t xml:space="preserve">the definition of accessible should be amended </w:t>
      </w:r>
      <w:r w:rsidR="008342C5" w:rsidRPr="0E887DD2">
        <w:rPr>
          <w:rFonts w:asciiTheme="minorHAnsi" w:hAnsiTheme="minorHAnsi" w:cstheme="minorBidi"/>
        </w:rPr>
        <w:t>to:</w:t>
      </w:r>
      <w:r w:rsidR="00FB3A19" w:rsidRPr="0E887DD2">
        <w:rPr>
          <w:rStyle w:val="CommentReference"/>
          <w:rFonts w:asciiTheme="minorHAnsi" w:hAnsiTheme="minorHAnsi" w:cstheme="minorBidi"/>
          <w:color w:val="auto"/>
          <w:kern w:val="2"/>
        </w:rPr>
        <w:t>.</w:t>
      </w:r>
    </w:p>
    <w:p w14:paraId="1F0DFE2C" w14:textId="67FA465C" w:rsidR="008342C5" w:rsidRPr="003E6EEA" w:rsidRDefault="006819C1" w:rsidP="00310A5C">
      <w:pPr>
        <w:pStyle w:val="Default"/>
        <w:spacing w:line="360" w:lineRule="auto"/>
        <w:ind w:left="720"/>
        <w:rPr>
          <w:rFonts w:asciiTheme="minorHAnsi" w:hAnsiTheme="minorHAnsi" w:cstheme="minorBidi"/>
        </w:rPr>
      </w:pPr>
      <w:r w:rsidRPr="0E887DD2">
        <w:rPr>
          <w:rFonts w:asciiTheme="minorHAnsi" w:hAnsiTheme="minorHAnsi" w:cstheme="minorBidi"/>
          <w:b/>
          <w:bCs/>
          <w:i/>
          <w:iCs/>
          <w:u w:val="single"/>
        </w:rPr>
        <w:t>fully</w:t>
      </w:r>
      <w:r w:rsidRPr="0E887DD2">
        <w:rPr>
          <w:rFonts w:asciiTheme="minorHAnsi" w:hAnsiTheme="minorHAnsi" w:cstheme="minorBidi"/>
          <w:b/>
          <w:bCs/>
          <w:i/>
          <w:iCs/>
        </w:rPr>
        <w:t xml:space="preserve"> </w:t>
      </w:r>
      <w:r w:rsidR="00E924D1" w:rsidRPr="0E887DD2">
        <w:rPr>
          <w:rFonts w:asciiTheme="minorHAnsi" w:hAnsiTheme="minorHAnsi" w:cstheme="minorBidi"/>
          <w:b/>
          <w:bCs/>
          <w:i/>
          <w:iCs/>
        </w:rPr>
        <w:t>accessible</w:t>
      </w:r>
      <w:r w:rsidR="00E924D1" w:rsidRPr="0E887DD2">
        <w:rPr>
          <w:rFonts w:asciiTheme="minorHAnsi" w:hAnsiTheme="minorHAnsi" w:cstheme="minorBidi"/>
        </w:rPr>
        <w:t xml:space="preserve">, in relation to the Tribunal, means enables </w:t>
      </w:r>
      <w:r w:rsidR="14A805F9" w:rsidRPr="0E887DD2">
        <w:rPr>
          <w:rFonts w:asciiTheme="minorHAnsi" w:hAnsiTheme="minorHAnsi" w:cstheme="minorBidi"/>
        </w:rPr>
        <w:t>People</w:t>
      </w:r>
      <w:r w:rsidR="00E924D1" w:rsidRPr="0E887DD2">
        <w:rPr>
          <w:rFonts w:asciiTheme="minorHAnsi" w:hAnsiTheme="minorHAnsi" w:cstheme="minorBidi"/>
        </w:rPr>
        <w:t xml:space="preserve"> to apply to the Tribunal and to participate effectively in proceedings in the </w:t>
      </w:r>
      <w:proofErr w:type="gramStart"/>
      <w:r w:rsidR="00E924D1" w:rsidRPr="0E887DD2">
        <w:rPr>
          <w:rFonts w:asciiTheme="minorHAnsi" w:hAnsiTheme="minorHAnsi" w:cstheme="minorBidi"/>
        </w:rPr>
        <w:t>Tribunal</w:t>
      </w:r>
      <w:proofErr w:type="gramEnd"/>
      <w:r w:rsidRPr="0E887DD2">
        <w:rPr>
          <w:rFonts w:asciiTheme="minorHAnsi" w:hAnsiTheme="minorHAnsi" w:cstheme="minorBidi"/>
        </w:rPr>
        <w:t xml:space="preserve"> </w:t>
      </w:r>
    </w:p>
    <w:p w14:paraId="09A8BEDC" w14:textId="26FC088F" w:rsidR="00574B38" w:rsidRPr="00162FF8" w:rsidRDefault="00574B38" w:rsidP="0E887DD2">
      <w:pPr>
        <w:spacing w:line="360" w:lineRule="auto"/>
        <w:rPr>
          <w:rStyle w:val="normaltextrun"/>
          <w:b/>
          <w:bCs/>
          <w:color w:val="522E91"/>
          <w:sz w:val="24"/>
          <w:szCs w:val="24"/>
          <w:shd w:val="clear" w:color="auto" w:fill="FFFFFF"/>
        </w:rPr>
      </w:pPr>
      <w:r w:rsidRPr="00162FF8">
        <w:rPr>
          <w:rStyle w:val="normaltextrun"/>
          <w:b/>
          <w:bCs/>
          <w:color w:val="522E91"/>
          <w:sz w:val="24"/>
          <w:szCs w:val="24"/>
        </w:rPr>
        <w:t xml:space="preserve">Recommendation </w:t>
      </w:r>
      <w:r w:rsidR="00D85FAA" w:rsidRPr="00162FF8">
        <w:rPr>
          <w:rStyle w:val="normaltextrun"/>
          <w:b/>
          <w:bCs/>
          <w:color w:val="522E91"/>
          <w:sz w:val="24"/>
          <w:szCs w:val="24"/>
        </w:rPr>
        <w:t>6</w:t>
      </w:r>
      <w:r w:rsidRPr="00162FF8">
        <w:rPr>
          <w:rStyle w:val="normaltextrun"/>
          <w:b/>
          <w:bCs/>
          <w:color w:val="522E91"/>
          <w:sz w:val="24"/>
          <w:szCs w:val="24"/>
        </w:rPr>
        <w:t>:</w:t>
      </w:r>
      <w:r w:rsidRPr="00162FF8">
        <w:rPr>
          <w:rStyle w:val="normaltextrun"/>
          <w:b/>
          <w:bCs/>
          <w:color w:val="7030A0"/>
          <w:sz w:val="24"/>
          <w:szCs w:val="24"/>
        </w:rPr>
        <w:t> </w:t>
      </w:r>
      <w:r w:rsidRPr="00162FF8">
        <w:rPr>
          <w:rStyle w:val="normaltextrun"/>
          <w:b/>
          <w:bCs/>
          <w:sz w:val="24"/>
          <w:szCs w:val="24"/>
        </w:rPr>
        <w:t xml:space="preserve">The Committee </w:t>
      </w:r>
      <w:r w:rsidR="00B645A8" w:rsidRPr="00162FF8">
        <w:rPr>
          <w:rStyle w:val="normaltextrun"/>
          <w:b/>
          <w:bCs/>
          <w:sz w:val="24"/>
          <w:szCs w:val="24"/>
        </w:rPr>
        <w:t xml:space="preserve">should </w:t>
      </w:r>
      <w:r w:rsidRPr="00162FF8">
        <w:rPr>
          <w:rStyle w:val="normaltextrun"/>
          <w:b/>
          <w:bCs/>
          <w:sz w:val="24"/>
          <w:szCs w:val="24"/>
        </w:rPr>
        <w:t>recommend</w:t>
      </w:r>
      <w:r w:rsidRPr="00162FF8">
        <w:rPr>
          <w:rStyle w:val="normaltextrun"/>
          <w:b/>
          <w:bCs/>
          <w:color w:val="522E91"/>
          <w:sz w:val="24"/>
          <w:szCs w:val="24"/>
        </w:rPr>
        <w:t xml:space="preserve"> </w:t>
      </w:r>
      <w:r w:rsidRPr="00162FF8">
        <w:rPr>
          <w:rStyle w:val="normaltextrun"/>
          <w:b/>
          <w:bCs/>
          <w:color w:val="000000" w:themeColor="text1"/>
          <w:sz w:val="24"/>
          <w:szCs w:val="24"/>
        </w:rPr>
        <w:t>t</w:t>
      </w:r>
      <w:r w:rsidRPr="00162FF8">
        <w:rPr>
          <w:rStyle w:val="normaltextrun"/>
          <w:b/>
          <w:bCs/>
          <w:sz w:val="24"/>
          <w:szCs w:val="24"/>
        </w:rPr>
        <w:t xml:space="preserve">he definition of accessible in clause 4 of the Administrative Review Tribunal Bill 2023 be amended to </w:t>
      </w:r>
      <w:r w:rsidR="00C94858" w:rsidRPr="00162FF8">
        <w:rPr>
          <w:rStyle w:val="normaltextrun"/>
          <w:b/>
          <w:bCs/>
          <w:sz w:val="24"/>
          <w:szCs w:val="24"/>
        </w:rPr>
        <w:t>‘</w:t>
      </w:r>
      <w:r w:rsidRPr="00162FF8">
        <w:rPr>
          <w:rStyle w:val="normaltextrun"/>
          <w:b/>
          <w:bCs/>
          <w:sz w:val="24"/>
          <w:szCs w:val="24"/>
        </w:rPr>
        <w:t>fully accessible</w:t>
      </w:r>
      <w:r w:rsidR="00C94858" w:rsidRPr="00162FF8">
        <w:rPr>
          <w:rStyle w:val="normaltextrun"/>
          <w:b/>
          <w:bCs/>
          <w:sz w:val="24"/>
          <w:szCs w:val="24"/>
        </w:rPr>
        <w:t>’</w:t>
      </w:r>
      <w:r w:rsidR="00A04364" w:rsidRPr="00162FF8">
        <w:rPr>
          <w:rStyle w:val="normaltextrun"/>
          <w:b/>
          <w:bCs/>
          <w:sz w:val="24"/>
          <w:szCs w:val="24"/>
        </w:rPr>
        <w:t xml:space="preserve"> to ensure </w:t>
      </w:r>
      <w:r w:rsidR="008B337D" w:rsidRPr="00162FF8">
        <w:rPr>
          <w:rStyle w:val="normaltextrun"/>
          <w:b/>
          <w:bCs/>
          <w:sz w:val="24"/>
          <w:szCs w:val="24"/>
        </w:rPr>
        <w:t xml:space="preserve">conformity with article 21 of the </w:t>
      </w:r>
      <w:r w:rsidR="008B337D" w:rsidRPr="00162FF8">
        <w:rPr>
          <w:rStyle w:val="normaltextrun"/>
          <w:b/>
          <w:bCs/>
          <w:i/>
          <w:iCs/>
          <w:sz w:val="24"/>
          <w:szCs w:val="24"/>
        </w:rPr>
        <w:t>UNCRPD</w:t>
      </w:r>
      <w:r w:rsidRPr="00162FF8">
        <w:rPr>
          <w:rStyle w:val="normaltextrun"/>
          <w:b/>
          <w:bCs/>
          <w:sz w:val="24"/>
          <w:szCs w:val="24"/>
        </w:rPr>
        <w:t xml:space="preserve">.   </w:t>
      </w:r>
    </w:p>
    <w:p w14:paraId="750EF0F9" w14:textId="09D98394" w:rsidR="00FC57F1" w:rsidRPr="00146C13" w:rsidRDefault="000E437B" w:rsidP="0E887DD2">
      <w:pPr>
        <w:pStyle w:val="Heading2"/>
        <w:keepNext w:val="0"/>
        <w:keepLines w:val="0"/>
        <w:spacing w:line="360" w:lineRule="auto"/>
        <w:rPr>
          <w:color w:val="7030A0"/>
        </w:rPr>
      </w:pPr>
      <w:bookmarkStart w:id="10" w:name="_Toc156546024"/>
      <w:r>
        <w:rPr>
          <w:color w:val="7030A0"/>
        </w:rPr>
        <w:t xml:space="preserve">6.2 </w:t>
      </w:r>
      <w:r w:rsidR="00FC57F1" w:rsidRPr="2C561418">
        <w:rPr>
          <w:color w:val="7030A0"/>
        </w:rPr>
        <w:t>Interpreters</w:t>
      </w:r>
      <w:bookmarkEnd w:id="10"/>
      <w:r w:rsidR="00FC57F1" w:rsidRPr="2C561418">
        <w:rPr>
          <w:color w:val="7030A0"/>
        </w:rPr>
        <w:t xml:space="preserve"> </w:t>
      </w:r>
    </w:p>
    <w:p w14:paraId="1A062E5B" w14:textId="5EF2C977" w:rsidR="009946A6" w:rsidRDefault="00F96045" w:rsidP="0E887DD2">
      <w:pPr>
        <w:spacing w:line="360" w:lineRule="auto"/>
        <w:rPr>
          <w:color w:val="000000"/>
          <w:sz w:val="24"/>
          <w:szCs w:val="24"/>
        </w:rPr>
      </w:pPr>
      <w:r w:rsidRPr="0E887DD2">
        <w:rPr>
          <w:sz w:val="24"/>
          <w:szCs w:val="24"/>
          <w:lang w:val="en-US"/>
        </w:rPr>
        <w:t>Parties accessing the ART may need the Tribunal to appoint an interpreter fo</w:t>
      </w:r>
      <w:r w:rsidR="0078094E" w:rsidRPr="0E887DD2">
        <w:rPr>
          <w:sz w:val="24"/>
          <w:szCs w:val="24"/>
          <w:lang w:val="en-US"/>
        </w:rPr>
        <w:t xml:space="preserve">r a range of reasons: they may be members of the </w:t>
      </w:r>
      <w:r w:rsidR="00454ECE" w:rsidRPr="0E887DD2">
        <w:rPr>
          <w:sz w:val="24"/>
          <w:szCs w:val="24"/>
          <w:lang w:val="en-US"/>
        </w:rPr>
        <w:t>d/</w:t>
      </w:r>
      <w:r w:rsidR="0078094E" w:rsidRPr="0E887DD2">
        <w:rPr>
          <w:sz w:val="24"/>
          <w:szCs w:val="24"/>
          <w:lang w:val="en-US"/>
        </w:rPr>
        <w:t xml:space="preserve">Deaf or </w:t>
      </w:r>
      <w:r w:rsidR="00454ECE" w:rsidRPr="0E887DD2">
        <w:rPr>
          <w:sz w:val="24"/>
          <w:szCs w:val="24"/>
          <w:lang w:val="en-US"/>
        </w:rPr>
        <w:t>d/</w:t>
      </w:r>
      <w:r w:rsidR="0078094E" w:rsidRPr="0E887DD2">
        <w:rPr>
          <w:sz w:val="24"/>
          <w:szCs w:val="24"/>
          <w:lang w:val="en-US"/>
        </w:rPr>
        <w:t xml:space="preserve">Deafblind community, </w:t>
      </w:r>
      <w:r w:rsidR="00326D06" w:rsidRPr="0E887DD2">
        <w:rPr>
          <w:color w:val="000000"/>
          <w:sz w:val="24"/>
          <w:szCs w:val="24"/>
        </w:rPr>
        <w:t>First Nations sign language users and</w:t>
      </w:r>
      <w:r w:rsidR="005E0115" w:rsidRPr="0E887DD2">
        <w:rPr>
          <w:color w:val="000000"/>
          <w:sz w:val="24"/>
          <w:szCs w:val="24"/>
        </w:rPr>
        <w:t>/or</w:t>
      </w:r>
      <w:r w:rsidR="00326D06" w:rsidRPr="0E887DD2">
        <w:rPr>
          <w:color w:val="000000"/>
          <w:sz w:val="24"/>
          <w:szCs w:val="24"/>
        </w:rPr>
        <w:t xml:space="preserve"> people from culturally and linguistically diverse backgrounds.</w:t>
      </w:r>
      <w:r w:rsidR="00326D06" w:rsidRPr="0E887DD2">
        <w:rPr>
          <w:rStyle w:val="FootnoteReference"/>
          <w:color w:val="000000"/>
          <w:sz w:val="24"/>
          <w:szCs w:val="24"/>
        </w:rPr>
        <w:footnoteReference w:id="20"/>
      </w:r>
      <w:r w:rsidR="00F214AC" w:rsidRPr="0E887DD2">
        <w:rPr>
          <w:color w:val="000000"/>
          <w:sz w:val="24"/>
          <w:szCs w:val="24"/>
        </w:rPr>
        <w:t xml:space="preserve"> To ensure that</w:t>
      </w:r>
      <w:r w:rsidR="00B02540" w:rsidRPr="0E887DD2">
        <w:rPr>
          <w:color w:val="000000"/>
          <w:sz w:val="24"/>
          <w:szCs w:val="24"/>
        </w:rPr>
        <w:t xml:space="preserve"> the appointment of</w:t>
      </w:r>
      <w:r w:rsidR="00FE4A0B" w:rsidRPr="0E887DD2">
        <w:rPr>
          <w:color w:val="000000"/>
          <w:sz w:val="24"/>
          <w:szCs w:val="24"/>
        </w:rPr>
        <w:t xml:space="preserve"> interpreters</w:t>
      </w:r>
      <w:r w:rsidR="00B02540" w:rsidRPr="0E887DD2">
        <w:rPr>
          <w:color w:val="000000"/>
          <w:sz w:val="24"/>
          <w:szCs w:val="24"/>
        </w:rPr>
        <w:t xml:space="preserve"> </w:t>
      </w:r>
      <w:r w:rsidR="00A8326A" w:rsidRPr="0E887DD2">
        <w:rPr>
          <w:color w:val="000000"/>
          <w:sz w:val="24"/>
          <w:szCs w:val="24"/>
        </w:rPr>
        <w:t xml:space="preserve">fulfills the </w:t>
      </w:r>
      <w:r w:rsidR="00607166" w:rsidRPr="0E887DD2">
        <w:rPr>
          <w:color w:val="000000"/>
          <w:sz w:val="24"/>
          <w:szCs w:val="24"/>
        </w:rPr>
        <w:t xml:space="preserve">obligation </w:t>
      </w:r>
      <w:r w:rsidR="00A8326A" w:rsidRPr="0E887DD2">
        <w:rPr>
          <w:color w:val="000000"/>
          <w:sz w:val="24"/>
          <w:szCs w:val="24"/>
        </w:rPr>
        <w:t>of</w:t>
      </w:r>
      <w:r w:rsidR="00FE4A0B" w:rsidRPr="0E887DD2">
        <w:rPr>
          <w:color w:val="000000"/>
          <w:sz w:val="24"/>
          <w:szCs w:val="24"/>
        </w:rPr>
        <w:t xml:space="preserve"> full</w:t>
      </w:r>
      <w:r w:rsidR="00A8326A" w:rsidRPr="0E887DD2">
        <w:rPr>
          <w:color w:val="000000"/>
          <w:sz w:val="24"/>
          <w:szCs w:val="24"/>
        </w:rPr>
        <w:t xml:space="preserve"> accessibility, </w:t>
      </w:r>
      <w:r w:rsidR="00FE4A0B" w:rsidRPr="0E887DD2">
        <w:rPr>
          <w:color w:val="000000"/>
          <w:sz w:val="24"/>
          <w:szCs w:val="24"/>
        </w:rPr>
        <w:t xml:space="preserve">all interpreters, including spoken language interpreters, should be required to undertake Disability </w:t>
      </w:r>
      <w:r w:rsidR="005E0DF0" w:rsidRPr="0E887DD2">
        <w:rPr>
          <w:color w:val="000000"/>
          <w:sz w:val="24"/>
          <w:szCs w:val="24"/>
        </w:rPr>
        <w:t>Awareness</w:t>
      </w:r>
      <w:r w:rsidR="00FE4A0B" w:rsidRPr="0E887DD2">
        <w:rPr>
          <w:color w:val="000000"/>
          <w:sz w:val="24"/>
          <w:szCs w:val="24"/>
        </w:rPr>
        <w:t xml:space="preserve"> Training</w:t>
      </w:r>
      <w:r w:rsidR="000C043B" w:rsidRPr="0E887DD2">
        <w:rPr>
          <w:color w:val="000000"/>
          <w:sz w:val="24"/>
          <w:szCs w:val="24"/>
        </w:rPr>
        <w:t>, including, as called for by the National Ethnic</w:t>
      </w:r>
      <w:r w:rsidR="008D68B0" w:rsidRPr="0E887DD2">
        <w:rPr>
          <w:color w:val="000000"/>
          <w:sz w:val="24"/>
          <w:szCs w:val="24"/>
        </w:rPr>
        <w:t xml:space="preserve"> Disability </w:t>
      </w:r>
      <w:r w:rsidR="008D68B0" w:rsidRPr="0E887DD2">
        <w:rPr>
          <w:color w:val="000000"/>
          <w:sz w:val="24"/>
          <w:szCs w:val="24"/>
        </w:rPr>
        <w:lastRenderedPageBreak/>
        <w:t>Alliance, training “in the use of disability and mental health terminology, and the social model of disability in general”</w:t>
      </w:r>
      <w:r w:rsidR="00F85373" w:rsidRPr="0E887DD2">
        <w:rPr>
          <w:rStyle w:val="FootnoteReference"/>
          <w:color w:val="000000"/>
          <w:sz w:val="24"/>
          <w:szCs w:val="24"/>
        </w:rPr>
        <w:footnoteReference w:id="21"/>
      </w:r>
      <w:r w:rsidR="00FC46B6" w:rsidRPr="0E887DD2">
        <w:rPr>
          <w:color w:val="000000"/>
          <w:sz w:val="24"/>
          <w:szCs w:val="24"/>
        </w:rPr>
        <w:t xml:space="preserve"> as well as “instruction related to disability and culture, specific</w:t>
      </w:r>
      <w:r w:rsidR="004C0101" w:rsidRPr="0E887DD2">
        <w:rPr>
          <w:color w:val="000000"/>
          <w:sz w:val="24"/>
          <w:szCs w:val="24"/>
        </w:rPr>
        <w:t xml:space="preserve"> </w:t>
      </w:r>
      <w:r w:rsidR="00FC46B6" w:rsidRPr="0E887DD2">
        <w:rPr>
          <w:color w:val="000000"/>
          <w:sz w:val="24"/>
          <w:szCs w:val="24"/>
        </w:rPr>
        <w:t>instruction around terminology used in disability”</w:t>
      </w:r>
      <w:r w:rsidR="00FC46B6" w:rsidRPr="0E887DD2">
        <w:rPr>
          <w:rStyle w:val="FootnoteReference"/>
          <w:color w:val="000000"/>
          <w:sz w:val="24"/>
          <w:szCs w:val="24"/>
        </w:rPr>
        <w:footnoteReference w:id="22"/>
      </w:r>
      <w:r w:rsidR="004C0101" w:rsidRPr="0E887DD2">
        <w:rPr>
          <w:color w:val="000000"/>
          <w:sz w:val="24"/>
          <w:szCs w:val="24"/>
        </w:rPr>
        <w:t xml:space="preserve"> and to develop “an understanding of the shame experienced by some communities about disability”.</w:t>
      </w:r>
      <w:r w:rsidR="004C0101" w:rsidRPr="0E887DD2">
        <w:rPr>
          <w:rStyle w:val="FootnoteReference"/>
          <w:color w:val="000000"/>
          <w:sz w:val="24"/>
          <w:szCs w:val="24"/>
        </w:rPr>
        <w:footnoteReference w:id="23"/>
      </w:r>
      <w:r w:rsidR="003B3264" w:rsidRPr="0E887DD2">
        <w:rPr>
          <w:color w:val="000000"/>
          <w:sz w:val="24"/>
          <w:szCs w:val="24"/>
        </w:rPr>
        <w:t xml:space="preserve"> Further, to ensure alignment with </w:t>
      </w:r>
      <w:r w:rsidR="009C6A50" w:rsidRPr="0E887DD2">
        <w:rPr>
          <w:color w:val="000000"/>
          <w:sz w:val="24"/>
          <w:szCs w:val="24"/>
        </w:rPr>
        <w:t>the Disability Royal Commission</w:t>
      </w:r>
      <w:r w:rsidR="009C4A19" w:rsidRPr="0E887DD2">
        <w:rPr>
          <w:color w:val="000000"/>
          <w:sz w:val="24"/>
          <w:szCs w:val="24"/>
        </w:rPr>
        <w:t>’s Recommendation 4.13</w:t>
      </w:r>
      <w:r w:rsidR="009C6A50" w:rsidRPr="0E887DD2">
        <w:rPr>
          <w:color w:val="000000"/>
          <w:sz w:val="24"/>
          <w:szCs w:val="24"/>
        </w:rPr>
        <w:t>, the Tribunal should be mandated to</w:t>
      </w:r>
      <w:r w:rsidR="009C4A19" w:rsidRPr="0E887DD2">
        <w:rPr>
          <w:color w:val="000000"/>
          <w:sz w:val="24"/>
          <w:szCs w:val="24"/>
        </w:rPr>
        <w:t xml:space="preserve"> appoint interpreters that are </w:t>
      </w:r>
      <w:r w:rsidR="00E63ADE" w:rsidRPr="0E887DD2">
        <w:rPr>
          <w:color w:val="000000"/>
          <w:sz w:val="24"/>
          <w:szCs w:val="24"/>
        </w:rPr>
        <w:t>“appropriately trained and credentialed.”</w:t>
      </w:r>
      <w:r w:rsidR="00326414" w:rsidRPr="0E887DD2">
        <w:rPr>
          <w:rStyle w:val="FootnoteReference"/>
          <w:color w:val="000000"/>
          <w:sz w:val="24"/>
          <w:szCs w:val="24"/>
        </w:rPr>
        <w:footnoteReference w:id="24"/>
      </w:r>
    </w:p>
    <w:p w14:paraId="24D13121" w14:textId="50F57627" w:rsidR="00C66840" w:rsidRPr="00162FF8" w:rsidRDefault="00C66840" w:rsidP="0E887DD2">
      <w:pPr>
        <w:spacing w:line="360" w:lineRule="auto"/>
        <w:rPr>
          <w:color w:val="000000"/>
          <w:sz w:val="24"/>
          <w:szCs w:val="24"/>
        </w:rPr>
      </w:pPr>
      <w:r w:rsidRPr="00162FF8">
        <w:rPr>
          <w:rStyle w:val="normaltextrun"/>
          <w:b/>
          <w:bCs/>
          <w:color w:val="522E91"/>
          <w:sz w:val="24"/>
          <w:szCs w:val="24"/>
        </w:rPr>
        <w:t xml:space="preserve">Recommendation </w:t>
      </w:r>
      <w:r w:rsidR="00D85FAA" w:rsidRPr="00162FF8">
        <w:rPr>
          <w:rStyle w:val="normaltextrun"/>
          <w:b/>
          <w:bCs/>
          <w:color w:val="522E91"/>
          <w:sz w:val="24"/>
          <w:szCs w:val="24"/>
        </w:rPr>
        <w:t>7</w:t>
      </w:r>
      <w:r w:rsidRPr="00162FF8">
        <w:rPr>
          <w:rStyle w:val="normaltextrun"/>
          <w:b/>
          <w:bCs/>
          <w:color w:val="522E91"/>
          <w:sz w:val="24"/>
          <w:szCs w:val="24"/>
        </w:rPr>
        <w:t>:</w:t>
      </w:r>
      <w:r w:rsidRPr="00162FF8">
        <w:rPr>
          <w:rStyle w:val="normaltextrun"/>
          <w:b/>
          <w:bCs/>
          <w:color w:val="7030A0"/>
          <w:sz w:val="24"/>
          <w:szCs w:val="24"/>
        </w:rPr>
        <w:t> </w:t>
      </w:r>
      <w:r w:rsidRPr="00162FF8">
        <w:rPr>
          <w:rStyle w:val="normaltextrun"/>
          <w:b/>
          <w:bCs/>
          <w:sz w:val="24"/>
          <w:szCs w:val="24"/>
        </w:rPr>
        <w:t xml:space="preserve">The Committee </w:t>
      </w:r>
      <w:r w:rsidR="0025246A" w:rsidRPr="00162FF8">
        <w:rPr>
          <w:rStyle w:val="normaltextrun"/>
          <w:b/>
          <w:bCs/>
          <w:sz w:val="24"/>
          <w:szCs w:val="24"/>
        </w:rPr>
        <w:t xml:space="preserve">should </w:t>
      </w:r>
      <w:r w:rsidRPr="00162FF8">
        <w:rPr>
          <w:rStyle w:val="normaltextrun"/>
          <w:b/>
          <w:bCs/>
          <w:sz w:val="24"/>
          <w:szCs w:val="24"/>
        </w:rPr>
        <w:t>recommend clause 68 of the Administrative Review Tribunal Bill 2023 be amended to require all interpreters be trained in disability awareness,</w:t>
      </w:r>
      <w:r w:rsidR="00114302" w:rsidRPr="00162FF8">
        <w:rPr>
          <w:rStyle w:val="normaltextrun"/>
          <w:b/>
          <w:bCs/>
          <w:sz w:val="24"/>
          <w:szCs w:val="24"/>
        </w:rPr>
        <w:t xml:space="preserve"> including mental health terminology, </w:t>
      </w:r>
      <w:r w:rsidR="00CE142D" w:rsidRPr="00162FF8">
        <w:rPr>
          <w:rStyle w:val="normaltextrun"/>
          <w:b/>
          <w:bCs/>
          <w:sz w:val="24"/>
          <w:szCs w:val="24"/>
        </w:rPr>
        <w:t xml:space="preserve">the </w:t>
      </w:r>
      <w:r w:rsidR="00FC63E3" w:rsidRPr="00162FF8">
        <w:rPr>
          <w:rStyle w:val="normaltextrun"/>
          <w:b/>
          <w:bCs/>
          <w:sz w:val="24"/>
          <w:szCs w:val="24"/>
        </w:rPr>
        <w:t>S</w:t>
      </w:r>
      <w:r w:rsidR="00CE142D" w:rsidRPr="00162FF8">
        <w:rPr>
          <w:rStyle w:val="normaltextrun"/>
          <w:b/>
          <w:bCs/>
          <w:sz w:val="24"/>
          <w:szCs w:val="24"/>
        </w:rPr>
        <w:t xml:space="preserve">ocial </w:t>
      </w:r>
      <w:r w:rsidR="00FC63E3" w:rsidRPr="00162FF8">
        <w:rPr>
          <w:rStyle w:val="normaltextrun"/>
          <w:b/>
          <w:bCs/>
          <w:sz w:val="24"/>
          <w:szCs w:val="24"/>
        </w:rPr>
        <w:t>M</w:t>
      </w:r>
      <w:r w:rsidR="00CE142D" w:rsidRPr="00162FF8">
        <w:rPr>
          <w:rStyle w:val="normaltextrun"/>
          <w:b/>
          <w:bCs/>
          <w:sz w:val="24"/>
          <w:szCs w:val="24"/>
        </w:rPr>
        <w:t xml:space="preserve">odel of </w:t>
      </w:r>
      <w:r w:rsidR="00FC63E3" w:rsidRPr="00162FF8">
        <w:rPr>
          <w:rStyle w:val="normaltextrun"/>
          <w:b/>
          <w:bCs/>
          <w:sz w:val="24"/>
          <w:szCs w:val="24"/>
        </w:rPr>
        <w:t>D</w:t>
      </w:r>
      <w:r w:rsidR="00CE142D" w:rsidRPr="00162FF8">
        <w:rPr>
          <w:rStyle w:val="normaltextrun"/>
          <w:b/>
          <w:bCs/>
          <w:sz w:val="24"/>
          <w:szCs w:val="24"/>
        </w:rPr>
        <w:t>isability</w:t>
      </w:r>
      <w:r w:rsidR="00CC5693" w:rsidRPr="00162FF8">
        <w:rPr>
          <w:rStyle w:val="normaltextrun"/>
          <w:b/>
          <w:bCs/>
          <w:sz w:val="24"/>
          <w:szCs w:val="24"/>
        </w:rPr>
        <w:t xml:space="preserve">, </w:t>
      </w:r>
      <w:r w:rsidR="00C829ED" w:rsidRPr="00162FF8">
        <w:rPr>
          <w:rStyle w:val="normaltextrun"/>
          <w:b/>
          <w:bCs/>
          <w:sz w:val="24"/>
          <w:szCs w:val="24"/>
        </w:rPr>
        <w:t xml:space="preserve">and </w:t>
      </w:r>
      <w:r w:rsidR="00CC5693" w:rsidRPr="00162FF8">
        <w:rPr>
          <w:rStyle w:val="normaltextrun"/>
          <w:b/>
          <w:bCs/>
          <w:sz w:val="24"/>
          <w:szCs w:val="24"/>
        </w:rPr>
        <w:t>the intersection between disability and culture</w:t>
      </w:r>
      <w:r w:rsidR="00C32E40" w:rsidRPr="00162FF8">
        <w:rPr>
          <w:rStyle w:val="normaltextrun"/>
          <w:b/>
          <w:bCs/>
          <w:sz w:val="24"/>
          <w:szCs w:val="24"/>
        </w:rPr>
        <w:t xml:space="preserve">, particularly regarding </w:t>
      </w:r>
      <w:r w:rsidR="00611C14" w:rsidRPr="00162FF8">
        <w:rPr>
          <w:rStyle w:val="normaltextrun"/>
          <w:b/>
          <w:bCs/>
          <w:sz w:val="24"/>
          <w:szCs w:val="24"/>
        </w:rPr>
        <w:t xml:space="preserve">cultural </w:t>
      </w:r>
      <w:r w:rsidR="00275127" w:rsidRPr="00162FF8">
        <w:rPr>
          <w:rStyle w:val="normaltextrun"/>
          <w:b/>
          <w:bCs/>
          <w:sz w:val="24"/>
          <w:szCs w:val="24"/>
        </w:rPr>
        <w:t xml:space="preserve">perceptions of shame </w:t>
      </w:r>
      <w:r w:rsidR="00834F18" w:rsidRPr="00162FF8">
        <w:rPr>
          <w:rStyle w:val="normaltextrun"/>
          <w:b/>
          <w:bCs/>
          <w:sz w:val="24"/>
          <w:szCs w:val="24"/>
        </w:rPr>
        <w:t>regarding disability.</w:t>
      </w:r>
    </w:p>
    <w:p w14:paraId="7E7FC18C" w14:textId="182371DF" w:rsidR="009946A6" w:rsidRPr="003E6EEA" w:rsidRDefault="000E437B" w:rsidP="0E887DD2">
      <w:pPr>
        <w:pStyle w:val="Heading2"/>
        <w:keepNext w:val="0"/>
        <w:keepLines w:val="0"/>
        <w:spacing w:line="360" w:lineRule="auto"/>
        <w:rPr>
          <w:color w:val="7030A0"/>
        </w:rPr>
      </w:pPr>
      <w:bookmarkStart w:id="11" w:name="_Toc156546025"/>
      <w:r>
        <w:rPr>
          <w:color w:val="7030A0"/>
        </w:rPr>
        <w:t xml:space="preserve">6.3 </w:t>
      </w:r>
      <w:r w:rsidR="009946A6" w:rsidRPr="2C561418">
        <w:rPr>
          <w:color w:val="7030A0"/>
        </w:rPr>
        <w:t>Accessible Information</w:t>
      </w:r>
      <w:bookmarkEnd w:id="11"/>
    </w:p>
    <w:p w14:paraId="4B83744C" w14:textId="1BA29C80" w:rsidR="00CF1E79" w:rsidRPr="00146C13" w:rsidRDefault="00F462E7" w:rsidP="0E887DD2">
      <w:pPr>
        <w:spacing w:line="360" w:lineRule="auto"/>
        <w:rPr>
          <w:color w:val="000000"/>
          <w:sz w:val="24"/>
          <w:szCs w:val="24"/>
        </w:rPr>
      </w:pPr>
      <w:r w:rsidRPr="0E887DD2">
        <w:rPr>
          <w:color w:val="000000" w:themeColor="text1"/>
          <w:sz w:val="24"/>
          <w:szCs w:val="24"/>
        </w:rPr>
        <w:t>P</w:t>
      </w:r>
      <w:r w:rsidR="00BC6321" w:rsidRPr="0E887DD2">
        <w:rPr>
          <w:color w:val="000000" w:themeColor="text1"/>
          <w:sz w:val="24"/>
          <w:szCs w:val="24"/>
        </w:rPr>
        <w:t>roviding detailed reasons for a decision enhances the accountability of</w:t>
      </w:r>
      <w:r w:rsidR="00985CB6" w:rsidRPr="0E887DD2">
        <w:rPr>
          <w:color w:val="000000" w:themeColor="text1"/>
          <w:sz w:val="24"/>
          <w:szCs w:val="24"/>
        </w:rPr>
        <w:t>, and public trust in,</w:t>
      </w:r>
      <w:r w:rsidR="00BC6321" w:rsidRPr="0E887DD2">
        <w:rPr>
          <w:color w:val="000000" w:themeColor="text1"/>
          <w:sz w:val="24"/>
          <w:szCs w:val="24"/>
        </w:rPr>
        <w:t xml:space="preserve"> administrative bodies</w:t>
      </w:r>
      <w:r w:rsidR="00211763" w:rsidRPr="0E887DD2">
        <w:rPr>
          <w:color w:val="000000" w:themeColor="text1"/>
          <w:sz w:val="24"/>
          <w:szCs w:val="24"/>
        </w:rPr>
        <w:t xml:space="preserve"> like the Administrative Review Tribunal</w:t>
      </w:r>
      <w:r w:rsidR="00BC6321" w:rsidRPr="0E887DD2">
        <w:rPr>
          <w:color w:val="000000" w:themeColor="text1"/>
          <w:sz w:val="24"/>
          <w:szCs w:val="24"/>
        </w:rPr>
        <w:t xml:space="preserve">. </w:t>
      </w:r>
      <w:r w:rsidR="008D0F4F" w:rsidRPr="0E887DD2">
        <w:rPr>
          <w:color w:val="000000" w:themeColor="text1"/>
          <w:sz w:val="24"/>
          <w:szCs w:val="24"/>
        </w:rPr>
        <w:t xml:space="preserve">This </w:t>
      </w:r>
      <w:r w:rsidR="00BC6321" w:rsidRPr="0E887DD2">
        <w:rPr>
          <w:color w:val="000000" w:themeColor="text1"/>
          <w:sz w:val="24"/>
          <w:szCs w:val="24"/>
        </w:rPr>
        <w:t>allow</w:t>
      </w:r>
      <w:r w:rsidR="008D0F4F" w:rsidRPr="0E887DD2">
        <w:rPr>
          <w:color w:val="000000" w:themeColor="text1"/>
          <w:sz w:val="24"/>
          <w:szCs w:val="24"/>
        </w:rPr>
        <w:t>s</w:t>
      </w:r>
      <w:r w:rsidR="00BC6321" w:rsidRPr="0E887DD2">
        <w:rPr>
          <w:color w:val="000000" w:themeColor="text1"/>
          <w:sz w:val="24"/>
          <w:szCs w:val="24"/>
        </w:rPr>
        <w:t xml:space="preserve"> affected parties and the public to understand the rationale behind a decision, promoting transparency in the decision-making process. Detailed reasons contribute to the principles of natural justice and procedural fairness. Individuals affected by a decision</w:t>
      </w:r>
      <w:r w:rsidR="00CF1E79" w:rsidRPr="0E887DD2">
        <w:rPr>
          <w:color w:val="000000" w:themeColor="text1"/>
          <w:sz w:val="24"/>
          <w:szCs w:val="24"/>
        </w:rPr>
        <w:t xml:space="preserve"> of the ART</w:t>
      </w:r>
      <w:r w:rsidR="00BC6321" w:rsidRPr="0E887DD2">
        <w:rPr>
          <w:color w:val="000000" w:themeColor="text1"/>
          <w:sz w:val="24"/>
          <w:szCs w:val="24"/>
        </w:rPr>
        <w:t xml:space="preserve"> have the right to know why a decision was made against them, and providing reasons allows them to assess the fairness of the decision and whether proper procedures were followed.</w:t>
      </w:r>
      <w:r w:rsidRPr="0E887DD2">
        <w:rPr>
          <w:color w:val="000000" w:themeColor="text1"/>
          <w:sz w:val="24"/>
          <w:szCs w:val="24"/>
        </w:rPr>
        <w:t xml:space="preserve"> </w:t>
      </w:r>
    </w:p>
    <w:p w14:paraId="14569DE4" w14:textId="5FA0DD51" w:rsidR="00BC6321" w:rsidRPr="00146C13" w:rsidRDefault="00CF1E79" w:rsidP="0E887DD2">
      <w:pPr>
        <w:spacing w:line="360" w:lineRule="auto"/>
        <w:rPr>
          <w:color w:val="000000"/>
          <w:sz w:val="24"/>
          <w:szCs w:val="24"/>
        </w:rPr>
      </w:pPr>
      <w:r w:rsidRPr="5E724D25">
        <w:rPr>
          <w:color w:val="000000" w:themeColor="text1"/>
          <w:sz w:val="24"/>
          <w:szCs w:val="24"/>
        </w:rPr>
        <w:t>D</w:t>
      </w:r>
      <w:r w:rsidR="00BC6321" w:rsidRPr="5E724D25">
        <w:rPr>
          <w:color w:val="000000" w:themeColor="text1"/>
          <w:sz w:val="24"/>
          <w:szCs w:val="24"/>
        </w:rPr>
        <w:t>ecisions</w:t>
      </w:r>
      <w:r w:rsidRPr="5E724D25">
        <w:rPr>
          <w:color w:val="000000" w:themeColor="text1"/>
          <w:sz w:val="24"/>
          <w:szCs w:val="24"/>
        </w:rPr>
        <w:t xml:space="preserve"> of the Tribunal</w:t>
      </w:r>
      <w:r w:rsidR="00BC6321" w:rsidRPr="5E724D25">
        <w:rPr>
          <w:color w:val="000000" w:themeColor="text1"/>
          <w:sz w:val="24"/>
          <w:szCs w:val="24"/>
        </w:rPr>
        <w:t xml:space="preserve"> are subject to judicial or administrative review. Clear and comprehensive reasons enable reviewing bodies</w:t>
      </w:r>
      <w:r w:rsidR="00EB5F43" w:rsidRPr="5E724D25">
        <w:rPr>
          <w:color w:val="000000" w:themeColor="text1"/>
          <w:sz w:val="24"/>
          <w:szCs w:val="24"/>
        </w:rPr>
        <w:t>, such as the Federal Court,</w:t>
      </w:r>
      <w:r w:rsidR="00BC6321" w:rsidRPr="5E724D25">
        <w:rPr>
          <w:color w:val="000000" w:themeColor="text1"/>
          <w:sz w:val="24"/>
          <w:szCs w:val="24"/>
        </w:rPr>
        <w:t xml:space="preserve"> to assess the legality and rationality of the decision. Without adequate reasons, it becomes challenging for review bodies to evaluate the merits of the decision. Reasons serve as guidance for both the administrative body making the decision and other parties </w:t>
      </w:r>
      <w:proofErr w:type="gramStart"/>
      <w:r w:rsidR="00BC6321" w:rsidRPr="5E724D25">
        <w:rPr>
          <w:color w:val="000000" w:themeColor="text1"/>
          <w:sz w:val="24"/>
          <w:szCs w:val="24"/>
        </w:rPr>
        <w:t>involved</w:t>
      </w:r>
      <w:r w:rsidR="6AEC8ABE" w:rsidRPr="5E724D25">
        <w:rPr>
          <w:color w:val="000000" w:themeColor="text1"/>
          <w:sz w:val="24"/>
          <w:szCs w:val="24"/>
        </w:rPr>
        <w:t>, and</w:t>
      </w:r>
      <w:proofErr w:type="gramEnd"/>
      <w:r w:rsidR="6AEC8ABE" w:rsidRPr="5E724D25">
        <w:rPr>
          <w:color w:val="000000" w:themeColor="text1"/>
          <w:sz w:val="24"/>
          <w:szCs w:val="24"/>
        </w:rPr>
        <w:t xml:space="preserve"> require the decision maker to thoughtfully engage in </w:t>
      </w:r>
      <w:r w:rsidR="3B1F9FA6" w:rsidRPr="5E724D25">
        <w:rPr>
          <w:color w:val="000000" w:themeColor="text1"/>
          <w:sz w:val="24"/>
          <w:szCs w:val="24"/>
        </w:rPr>
        <w:t xml:space="preserve">a careful and </w:t>
      </w:r>
      <w:r w:rsidR="6AEC8ABE" w:rsidRPr="5E724D25">
        <w:rPr>
          <w:color w:val="000000" w:themeColor="text1"/>
          <w:sz w:val="24"/>
          <w:szCs w:val="24"/>
        </w:rPr>
        <w:t>systematic r</w:t>
      </w:r>
      <w:r w:rsidR="1EEC2E9F" w:rsidRPr="5E724D25">
        <w:rPr>
          <w:color w:val="000000" w:themeColor="text1"/>
          <w:sz w:val="24"/>
          <w:szCs w:val="24"/>
        </w:rPr>
        <w:t>easoning process</w:t>
      </w:r>
      <w:r w:rsidR="00BC6321" w:rsidRPr="5E724D25">
        <w:rPr>
          <w:color w:val="000000" w:themeColor="text1"/>
          <w:sz w:val="24"/>
          <w:szCs w:val="24"/>
        </w:rPr>
        <w:t>.</w:t>
      </w:r>
      <w:r w:rsidR="001B758F" w:rsidRPr="5E724D25">
        <w:rPr>
          <w:color w:val="000000" w:themeColor="text1"/>
          <w:sz w:val="24"/>
          <w:szCs w:val="24"/>
        </w:rPr>
        <w:t xml:space="preserve"> </w:t>
      </w:r>
      <w:r w:rsidR="00BC6321" w:rsidRPr="5E724D25">
        <w:rPr>
          <w:color w:val="000000" w:themeColor="text1"/>
          <w:sz w:val="24"/>
          <w:szCs w:val="24"/>
        </w:rPr>
        <w:t>A well-</w:t>
      </w:r>
      <w:r w:rsidR="00BC6321" w:rsidRPr="5E724D25">
        <w:rPr>
          <w:color w:val="000000" w:themeColor="text1"/>
          <w:sz w:val="24"/>
          <w:szCs w:val="24"/>
        </w:rPr>
        <w:lastRenderedPageBreak/>
        <w:t>reasoned decision provides legal certainty to the parties involved. It clarifies the legal basis and factual considerations that led to the decision, reducing ambiguity and potential misunderstandings.</w:t>
      </w:r>
      <w:r w:rsidR="001B758F" w:rsidRPr="5E724D25">
        <w:rPr>
          <w:color w:val="000000" w:themeColor="text1"/>
          <w:sz w:val="24"/>
          <w:szCs w:val="24"/>
        </w:rPr>
        <w:t xml:space="preserve"> </w:t>
      </w:r>
      <w:r w:rsidR="00BC6321" w:rsidRPr="5E724D25">
        <w:rPr>
          <w:color w:val="000000" w:themeColor="text1"/>
          <w:sz w:val="24"/>
          <w:szCs w:val="24"/>
        </w:rPr>
        <w:t>Transparent and well-explained decisions contribute to public confidence in the legal system and administrative processes. When the public understands the reasons behind decisions, they are more likely to trust the integrity of the administrative system</w:t>
      </w:r>
      <w:r w:rsidR="1176D900" w:rsidRPr="5E724D25">
        <w:rPr>
          <w:color w:val="000000" w:themeColor="text1"/>
          <w:sz w:val="24"/>
          <w:szCs w:val="24"/>
        </w:rPr>
        <w:t>, which could result in a reduction in the quantity of appeals</w:t>
      </w:r>
      <w:r w:rsidR="00BC6321" w:rsidRPr="5E724D25">
        <w:rPr>
          <w:color w:val="000000" w:themeColor="text1"/>
          <w:sz w:val="24"/>
          <w:szCs w:val="24"/>
        </w:rPr>
        <w:t>.</w:t>
      </w:r>
    </w:p>
    <w:p w14:paraId="1BB1EA65" w14:textId="277EAA79" w:rsidR="004B7D53" w:rsidRDefault="00164FDA" w:rsidP="0E887DD2">
      <w:pPr>
        <w:spacing w:line="360" w:lineRule="auto"/>
        <w:rPr>
          <w:color w:val="000000"/>
          <w:sz w:val="24"/>
          <w:szCs w:val="24"/>
        </w:rPr>
      </w:pPr>
      <w:r w:rsidRPr="0E887DD2">
        <w:rPr>
          <w:color w:val="000000"/>
          <w:sz w:val="24"/>
          <w:szCs w:val="24"/>
        </w:rPr>
        <w:t xml:space="preserve">Given the </w:t>
      </w:r>
      <w:r w:rsidR="00A408B0" w:rsidRPr="0E887DD2">
        <w:rPr>
          <w:color w:val="000000"/>
          <w:sz w:val="24"/>
          <w:szCs w:val="24"/>
        </w:rPr>
        <w:t>Tribunal’s obligation</w:t>
      </w:r>
      <w:r w:rsidR="004B1CEF" w:rsidRPr="0E887DD2">
        <w:rPr>
          <w:color w:val="000000"/>
          <w:sz w:val="24"/>
          <w:szCs w:val="24"/>
        </w:rPr>
        <w:t xml:space="preserve"> to, upon request, give reasons for decisions in writing in certain circumstances under clause 268, </w:t>
      </w:r>
      <w:r w:rsidR="0056689B" w:rsidRPr="0E887DD2">
        <w:rPr>
          <w:color w:val="000000"/>
          <w:sz w:val="24"/>
          <w:szCs w:val="24"/>
        </w:rPr>
        <w:t>to ensure equality before the law and the Bill’s object</w:t>
      </w:r>
      <w:r w:rsidR="00D76252" w:rsidRPr="0E887DD2">
        <w:rPr>
          <w:color w:val="000000"/>
          <w:sz w:val="24"/>
          <w:szCs w:val="24"/>
        </w:rPr>
        <w:t>ive</w:t>
      </w:r>
      <w:r w:rsidR="00D85D16" w:rsidRPr="0E887DD2">
        <w:rPr>
          <w:color w:val="000000"/>
          <w:sz w:val="24"/>
          <w:szCs w:val="24"/>
        </w:rPr>
        <w:t xml:space="preserve"> to </w:t>
      </w:r>
      <w:r w:rsidR="00817BAC" w:rsidRPr="0E887DD2">
        <w:rPr>
          <w:color w:val="000000"/>
          <w:sz w:val="24"/>
          <w:szCs w:val="24"/>
        </w:rPr>
        <w:t>ensure the Tribunal is</w:t>
      </w:r>
      <w:r w:rsidR="00D85D16" w:rsidRPr="0E887DD2">
        <w:rPr>
          <w:color w:val="000000"/>
          <w:sz w:val="24"/>
          <w:szCs w:val="24"/>
        </w:rPr>
        <w:t xml:space="preserve"> accessible, these reasons should be </w:t>
      </w:r>
      <w:r w:rsidR="002426F9" w:rsidRPr="0E887DD2">
        <w:rPr>
          <w:color w:val="000000"/>
          <w:sz w:val="24"/>
          <w:szCs w:val="24"/>
        </w:rPr>
        <w:t>communicated in a</w:t>
      </w:r>
      <w:r w:rsidR="00886539" w:rsidRPr="0E887DD2">
        <w:rPr>
          <w:color w:val="000000"/>
          <w:sz w:val="24"/>
          <w:szCs w:val="24"/>
        </w:rPr>
        <w:t>ccessible</w:t>
      </w:r>
      <w:r w:rsidR="002426F9" w:rsidRPr="0E887DD2">
        <w:rPr>
          <w:color w:val="000000"/>
          <w:sz w:val="24"/>
          <w:szCs w:val="24"/>
        </w:rPr>
        <w:t xml:space="preserve"> format</w:t>
      </w:r>
      <w:r w:rsidR="00886539" w:rsidRPr="0E887DD2">
        <w:rPr>
          <w:color w:val="000000"/>
          <w:sz w:val="24"/>
          <w:szCs w:val="24"/>
        </w:rPr>
        <w:t>s</w:t>
      </w:r>
      <w:r w:rsidR="002426F9" w:rsidRPr="0E887DD2">
        <w:rPr>
          <w:color w:val="000000"/>
          <w:sz w:val="24"/>
          <w:szCs w:val="24"/>
        </w:rPr>
        <w:t xml:space="preserve"> </w:t>
      </w:r>
      <w:r w:rsidR="002D7284" w:rsidRPr="0E887DD2">
        <w:rPr>
          <w:color w:val="000000"/>
          <w:sz w:val="24"/>
          <w:szCs w:val="24"/>
        </w:rPr>
        <w:t>that</w:t>
      </w:r>
      <w:r w:rsidR="002426F9" w:rsidRPr="0E887DD2">
        <w:rPr>
          <w:color w:val="000000"/>
          <w:sz w:val="24"/>
          <w:szCs w:val="24"/>
        </w:rPr>
        <w:t xml:space="preserve"> </w:t>
      </w:r>
      <w:r w:rsidR="002F3270" w:rsidRPr="0E887DD2">
        <w:rPr>
          <w:color w:val="000000" w:themeColor="text1"/>
          <w:sz w:val="24"/>
          <w:szCs w:val="24"/>
        </w:rPr>
        <w:t>meet</w:t>
      </w:r>
      <w:r w:rsidR="002F3270" w:rsidRPr="0E887DD2">
        <w:rPr>
          <w:color w:val="000000"/>
          <w:sz w:val="24"/>
          <w:szCs w:val="24"/>
        </w:rPr>
        <w:t xml:space="preserve"> the requirements of </w:t>
      </w:r>
      <w:r w:rsidR="00910D22" w:rsidRPr="0E887DD2">
        <w:rPr>
          <w:color w:val="000000"/>
          <w:sz w:val="24"/>
          <w:szCs w:val="24"/>
        </w:rPr>
        <w:t>each</w:t>
      </w:r>
      <w:r w:rsidR="002426F9" w:rsidRPr="0E887DD2">
        <w:rPr>
          <w:color w:val="000000"/>
          <w:sz w:val="24"/>
          <w:szCs w:val="24"/>
        </w:rPr>
        <w:t xml:space="preserve"> </w:t>
      </w:r>
      <w:proofErr w:type="gramStart"/>
      <w:r w:rsidR="002426F9" w:rsidRPr="0E887DD2">
        <w:rPr>
          <w:color w:val="000000"/>
          <w:sz w:val="24"/>
          <w:szCs w:val="24"/>
        </w:rPr>
        <w:t>parties</w:t>
      </w:r>
      <w:proofErr w:type="gramEnd"/>
      <w:r w:rsidR="002426F9" w:rsidRPr="0E887DD2">
        <w:rPr>
          <w:color w:val="000000"/>
          <w:sz w:val="24"/>
          <w:szCs w:val="24"/>
        </w:rPr>
        <w:t xml:space="preserve">, regardless of access needs. </w:t>
      </w:r>
    </w:p>
    <w:p w14:paraId="0E68C775" w14:textId="74235DD2" w:rsidR="000E437B" w:rsidRPr="00162FF8" w:rsidRDefault="00F444AB" w:rsidP="00162FF8">
      <w:pPr>
        <w:spacing w:line="360" w:lineRule="auto"/>
        <w:rPr>
          <w:rStyle w:val="normaltextrun"/>
          <w:color w:val="000000"/>
          <w:sz w:val="24"/>
          <w:szCs w:val="24"/>
        </w:rPr>
      </w:pPr>
      <w:r w:rsidRPr="00162FF8">
        <w:rPr>
          <w:rStyle w:val="normaltextrun"/>
          <w:b/>
          <w:bCs/>
          <w:color w:val="522E91"/>
          <w:sz w:val="24"/>
          <w:szCs w:val="24"/>
        </w:rPr>
        <w:t xml:space="preserve">Recommendation </w:t>
      </w:r>
      <w:r w:rsidR="001B7EC9" w:rsidRPr="00162FF8">
        <w:rPr>
          <w:rStyle w:val="normaltextrun"/>
          <w:b/>
          <w:bCs/>
          <w:color w:val="522E91"/>
          <w:sz w:val="24"/>
          <w:szCs w:val="24"/>
        </w:rPr>
        <w:t>8</w:t>
      </w:r>
      <w:r w:rsidRPr="00162FF8">
        <w:rPr>
          <w:rStyle w:val="normaltextrun"/>
          <w:b/>
          <w:bCs/>
          <w:color w:val="522E91"/>
          <w:sz w:val="24"/>
          <w:szCs w:val="24"/>
        </w:rPr>
        <w:t>:</w:t>
      </w:r>
      <w:r w:rsidRPr="00162FF8">
        <w:rPr>
          <w:rStyle w:val="normaltextrun"/>
          <w:b/>
          <w:bCs/>
          <w:color w:val="7030A0"/>
          <w:sz w:val="24"/>
          <w:szCs w:val="24"/>
        </w:rPr>
        <w:t> </w:t>
      </w:r>
      <w:r w:rsidRPr="00162FF8">
        <w:rPr>
          <w:rStyle w:val="normaltextrun"/>
          <w:b/>
          <w:bCs/>
          <w:sz w:val="24"/>
          <w:szCs w:val="24"/>
        </w:rPr>
        <w:t xml:space="preserve">The Committee </w:t>
      </w:r>
      <w:r w:rsidR="00D022BA" w:rsidRPr="00162FF8">
        <w:rPr>
          <w:rStyle w:val="normaltextrun"/>
          <w:b/>
          <w:bCs/>
          <w:sz w:val="24"/>
          <w:szCs w:val="24"/>
        </w:rPr>
        <w:t xml:space="preserve">should </w:t>
      </w:r>
      <w:r w:rsidRPr="00162FF8">
        <w:rPr>
          <w:rStyle w:val="normaltextrun"/>
          <w:b/>
          <w:bCs/>
          <w:sz w:val="24"/>
          <w:szCs w:val="24"/>
        </w:rPr>
        <w:t xml:space="preserve">recommend clause </w:t>
      </w:r>
      <w:r w:rsidR="001365A3" w:rsidRPr="00162FF8">
        <w:rPr>
          <w:rStyle w:val="normaltextrun"/>
          <w:b/>
          <w:bCs/>
          <w:sz w:val="24"/>
          <w:szCs w:val="24"/>
        </w:rPr>
        <w:t>2</w:t>
      </w:r>
      <w:r w:rsidRPr="00162FF8">
        <w:rPr>
          <w:rStyle w:val="normaltextrun"/>
          <w:b/>
          <w:bCs/>
          <w:sz w:val="24"/>
          <w:szCs w:val="24"/>
        </w:rPr>
        <w:t>68 of the Administrative Review Tribunal Bill 2023 be amended to require</w:t>
      </w:r>
      <w:r w:rsidR="00CD6D02" w:rsidRPr="00162FF8">
        <w:rPr>
          <w:rStyle w:val="normaltextrun"/>
          <w:b/>
          <w:bCs/>
          <w:sz w:val="24"/>
          <w:szCs w:val="24"/>
        </w:rPr>
        <w:t xml:space="preserve"> that </w:t>
      </w:r>
      <w:r w:rsidR="004B7D53" w:rsidRPr="00162FF8">
        <w:rPr>
          <w:rStyle w:val="normaltextrun"/>
          <w:b/>
          <w:bCs/>
          <w:sz w:val="24"/>
          <w:szCs w:val="24"/>
        </w:rPr>
        <w:t>the Tribunal’s reasons for decisions must be provided in format</w:t>
      </w:r>
      <w:r w:rsidR="00E36F87" w:rsidRPr="00162FF8">
        <w:rPr>
          <w:rStyle w:val="normaltextrun"/>
          <w:b/>
          <w:bCs/>
          <w:sz w:val="24"/>
          <w:szCs w:val="24"/>
        </w:rPr>
        <w:t>/</w:t>
      </w:r>
      <w:r w:rsidR="004B7D53" w:rsidRPr="00162FF8">
        <w:rPr>
          <w:rStyle w:val="normaltextrun"/>
          <w:b/>
          <w:bCs/>
          <w:sz w:val="24"/>
          <w:szCs w:val="24"/>
        </w:rPr>
        <w:t>s accessible to</w:t>
      </w:r>
      <w:r w:rsidR="17644C02" w:rsidRPr="00162FF8">
        <w:rPr>
          <w:rStyle w:val="normaltextrun"/>
          <w:b/>
          <w:bCs/>
          <w:sz w:val="24"/>
          <w:szCs w:val="24"/>
        </w:rPr>
        <w:t xml:space="preserve"> the individual</w:t>
      </w:r>
      <w:r w:rsidR="004B7D53" w:rsidRPr="00162FF8">
        <w:rPr>
          <w:rStyle w:val="normaltextrun"/>
          <w:b/>
          <w:bCs/>
          <w:sz w:val="24"/>
          <w:szCs w:val="24"/>
        </w:rPr>
        <w:t xml:space="preserve"> living with disability. </w:t>
      </w:r>
    </w:p>
    <w:p w14:paraId="4A5D10FE" w14:textId="142253C0" w:rsidR="008A6170" w:rsidRPr="00162FF8" w:rsidRDefault="000E437B" w:rsidP="2C561418">
      <w:pPr>
        <w:pStyle w:val="Heading1"/>
        <w:keepNext w:val="0"/>
        <w:keepLines w:val="0"/>
        <w:spacing w:line="360" w:lineRule="auto"/>
        <w:rPr>
          <w:rStyle w:val="normaltextrun"/>
          <w:rFonts w:cstheme="minorBidi"/>
          <w:color w:val="522E91"/>
          <w:sz w:val="28"/>
          <w:szCs w:val="28"/>
          <w:shd w:val="clear" w:color="auto" w:fill="FFFFFF"/>
        </w:rPr>
      </w:pPr>
      <w:bookmarkStart w:id="12" w:name="_Toc156546026"/>
      <w:r w:rsidRPr="00162FF8">
        <w:rPr>
          <w:rStyle w:val="normaltextrun"/>
          <w:rFonts w:cstheme="minorBidi"/>
          <w:color w:val="522E91"/>
          <w:sz w:val="28"/>
          <w:szCs w:val="28"/>
          <w:shd w:val="clear" w:color="auto" w:fill="FFFFFF"/>
        </w:rPr>
        <w:t>7</w:t>
      </w:r>
      <w:r w:rsidR="002617F4" w:rsidRPr="00162FF8">
        <w:rPr>
          <w:rStyle w:val="normaltextrun"/>
          <w:rFonts w:cstheme="minorBidi"/>
          <w:color w:val="522E91"/>
          <w:sz w:val="28"/>
          <w:szCs w:val="28"/>
          <w:shd w:val="clear" w:color="auto" w:fill="FFFFFF"/>
        </w:rPr>
        <w:t xml:space="preserve">. </w:t>
      </w:r>
      <w:r w:rsidR="008A6170" w:rsidRPr="00162FF8">
        <w:rPr>
          <w:rStyle w:val="normaltextrun"/>
          <w:rFonts w:cstheme="minorBidi"/>
          <w:color w:val="522E91"/>
          <w:sz w:val="28"/>
          <w:szCs w:val="28"/>
          <w:shd w:val="clear" w:color="auto" w:fill="FFFFFF"/>
        </w:rPr>
        <w:t>Supported Decision Making</w:t>
      </w:r>
      <w:bookmarkEnd w:id="12"/>
    </w:p>
    <w:p w14:paraId="244EEABA" w14:textId="26F9CFCF" w:rsidR="004719AA" w:rsidRPr="00146C13" w:rsidRDefault="001F2596" w:rsidP="0E887DD2">
      <w:pPr>
        <w:spacing w:line="360" w:lineRule="auto"/>
        <w:rPr>
          <w:rStyle w:val="normaltextrun"/>
          <w:color w:val="000000"/>
          <w:sz w:val="24"/>
          <w:szCs w:val="24"/>
          <w:shd w:val="clear" w:color="auto" w:fill="FFFFFF"/>
        </w:rPr>
      </w:pPr>
      <w:r w:rsidRPr="0E887DD2">
        <w:rPr>
          <w:rStyle w:val="normaltextrun"/>
          <w:color w:val="000000"/>
          <w:sz w:val="24"/>
          <w:szCs w:val="24"/>
          <w:shd w:val="clear" w:color="auto" w:fill="FFFFFF"/>
        </w:rPr>
        <w:t>Supported decision making empowers each person to make their own decisions, upholding their autonomy, dignity, and human rights. This approach should sit at the heart of all laws, policies, and practices in a modern approach to how we protect the decision-making rights of people living with disability and older Australians.</w:t>
      </w:r>
      <w:r w:rsidR="00813BD5" w:rsidRPr="0E887DD2">
        <w:rPr>
          <w:rStyle w:val="normaltextrun"/>
          <w:color w:val="000000"/>
          <w:sz w:val="24"/>
          <w:szCs w:val="24"/>
          <w:shd w:val="clear" w:color="auto" w:fill="FFFFFF"/>
        </w:rPr>
        <w:t xml:space="preserve"> </w:t>
      </w:r>
      <w:r w:rsidR="00796D76" w:rsidRPr="0E887DD2">
        <w:rPr>
          <w:rStyle w:val="normaltextrun"/>
          <w:color w:val="000000"/>
          <w:sz w:val="24"/>
          <w:szCs w:val="24"/>
          <w:shd w:val="clear" w:color="auto" w:fill="FFFFFF"/>
        </w:rPr>
        <w:t>In</w:t>
      </w:r>
      <w:r w:rsidR="009C4270" w:rsidRPr="0E887DD2">
        <w:rPr>
          <w:rStyle w:val="normaltextrun"/>
          <w:color w:val="000000"/>
          <w:sz w:val="24"/>
          <w:szCs w:val="24"/>
          <w:shd w:val="clear" w:color="auto" w:fill="FFFFFF"/>
        </w:rPr>
        <w:t xml:space="preserve"> the Bill, the</w:t>
      </w:r>
      <w:r w:rsidR="00813BD5" w:rsidRPr="0E887DD2">
        <w:rPr>
          <w:rStyle w:val="normaltextrun"/>
          <w:color w:val="000000"/>
          <w:sz w:val="24"/>
          <w:szCs w:val="24"/>
          <w:shd w:val="clear" w:color="auto" w:fill="FFFFFF"/>
        </w:rPr>
        <w:t xml:space="preserve"> Tribunal</w:t>
      </w:r>
      <w:r w:rsidR="009C4270" w:rsidRPr="0E887DD2">
        <w:rPr>
          <w:rStyle w:val="normaltextrun"/>
          <w:color w:val="000000"/>
          <w:sz w:val="24"/>
          <w:szCs w:val="24"/>
          <w:shd w:val="clear" w:color="auto" w:fill="FFFFFF"/>
        </w:rPr>
        <w:t xml:space="preserve"> is empowered under clause </w:t>
      </w:r>
      <w:r w:rsidR="000D7C1D" w:rsidRPr="0E887DD2">
        <w:rPr>
          <w:rStyle w:val="normaltextrun"/>
          <w:color w:val="000000"/>
          <w:sz w:val="24"/>
          <w:szCs w:val="24"/>
          <w:shd w:val="clear" w:color="auto" w:fill="FFFFFF"/>
        </w:rPr>
        <w:t>67 to</w:t>
      </w:r>
      <w:r w:rsidR="00585A55" w:rsidRPr="0E887DD2">
        <w:rPr>
          <w:rStyle w:val="normaltextrun"/>
          <w:color w:val="000000"/>
          <w:sz w:val="24"/>
          <w:szCs w:val="24"/>
          <w:shd w:val="clear" w:color="auto" w:fill="FFFFFF"/>
        </w:rPr>
        <w:t xml:space="preserve"> appoint a </w:t>
      </w:r>
      <w:r w:rsidR="0056260D" w:rsidRPr="0E887DD2">
        <w:rPr>
          <w:rStyle w:val="normaltextrun"/>
          <w:color w:val="000000"/>
          <w:sz w:val="24"/>
          <w:szCs w:val="24"/>
          <w:shd w:val="clear" w:color="auto" w:fill="FFFFFF"/>
        </w:rPr>
        <w:t>lit</w:t>
      </w:r>
      <w:r w:rsidR="00F46588" w:rsidRPr="0E887DD2">
        <w:rPr>
          <w:rStyle w:val="normaltextrun"/>
          <w:color w:val="000000"/>
          <w:sz w:val="24"/>
          <w:szCs w:val="24"/>
          <w:shd w:val="clear" w:color="auto" w:fill="FFFFFF"/>
        </w:rPr>
        <w:t>igation</w:t>
      </w:r>
      <w:r w:rsidR="00EA5694" w:rsidRPr="0E887DD2">
        <w:rPr>
          <w:rStyle w:val="normaltextrun"/>
          <w:color w:val="000000"/>
          <w:sz w:val="24"/>
          <w:szCs w:val="24"/>
          <w:shd w:val="clear" w:color="auto" w:fill="FFFFFF"/>
        </w:rPr>
        <w:t xml:space="preserve"> guardian</w:t>
      </w:r>
      <w:r w:rsidR="00F46588" w:rsidRPr="0E887DD2">
        <w:rPr>
          <w:rStyle w:val="normaltextrun"/>
          <w:color w:val="000000"/>
          <w:sz w:val="24"/>
          <w:szCs w:val="24"/>
          <w:shd w:val="clear" w:color="auto" w:fill="FFFFFF"/>
        </w:rPr>
        <w:t xml:space="preserve"> who does, </w:t>
      </w:r>
      <w:r w:rsidR="00DC1412" w:rsidRPr="0E887DD2">
        <w:rPr>
          <w:rStyle w:val="normaltextrun"/>
          <w:color w:val="000000"/>
          <w:sz w:val="24"/>
          <w:szCs w:val="24"/>
          <w:shd w:val="clear" w:color="auto" w:fill="FFFFFF"/>
        </w:rPr>
        <w:t xml:space="preserve">aside from in exceptional circumstances, </w:t>
      </w:r>
      <w:r w:rsidR="00141D96" w:rsidRPr="0E887DD2">
        <w:rPr>
          <w:rStyle w:val="normaltextrun"/>
          <w:color w:val="000000"/>
          <w:sz w:val="24"/>
          <w:szCs w:val="24"/>
          <w:shd w:val="clear" w:color="auto" w:fill="FFFFFF"/>
        </w:rPr>
        <w:t>owe</w:t>
      </w:r>
      <w:r w:rsidR="002E653D" w:rsidRPr="0E887DD2">
        <w:rPr>
          <w:rStyle w:val="normaltextrun"/>
          <w:color w:val="000000"/>
          <w:sz w:val="24"/>
          <w:szCs w:val="24"/>
          <w:shd w:val="clear" w:color="auto" w:fill="FFFFFF"/>
        </w:rPr>
        <w:t xml:space="preserve"> a duty to </w:t>
      </w:r>
      <w:r w:rsidR="009D053A" w:rsidRPr="0E887DD2">
        <w:rPr>
          <w:rStyle w:val="normaltextrun"/>
          <w:color w:val="000000"/>
          <w:sz w:val="24"/>
          <w:szCs w:val="24"/>
          <w:shd w:val="clear" w:color="auto" w:fill="FFFFFF"/>
        </w:rPr>
        <w:t>give effect to the party’s will and preferences</w:t>
      </w:r>
      <w:r w:rsidR="000D65C5" w:rsidRPr="0E887DD2">
        <w:rPr>
          <w:rStyle w:val="normaltextrun"/>
          <w:color w:val="000000"/>
          <w:sz w:val="24"/>
          <w:szCs w:val="24"/>
          <w:shd w:val="clear" w:color="auto" w:fill="FFFFFF"/>
        </w:rPr>
        <w:t xml:space="preserve">, </w:t>
      </w:r>
      <w:r w:rsidR="002F137C" w:rsidRPr="0E887DD2">
        <w:rPr>
          <w:rStyle w:val="normaltextrun"/>
          <w:color w:val="000000"/>
          <w:sz w:val="24"/>
          <w:szCs w:val="24"/>
          <w:shd w:val="clear" w:color="auto" w:fill="FFFFFF"/>
        </w:rPr>
        <w:t>which accords with principles of supported decision making</w:t>
      </w:r>
      <w:r w:rsidR="0018277E" w:rsidRPr="0E887DD2">
        <w:rPr>
          <w:rStyle w:val="normaltextrun"/>
          <w:color w:val="000000"/>
          <w:sz w:val="24"/>
          <w:szCs w:val="24"/>
          <w:shd w:val="clear" w:color="auto" w:fill="FFFFFF"/>
        </w:rPr>
        <w:t>.</w:t>
      </w:r>
      <w:r w:rsidR="002F137C" w:rsidRPr="0E887DD2">
        <w:rPr>
          <w:rStyle w:val="normaltextrun"/>
          <w:color w:val="000000"/>
          <w:sz w:val="24"/>
          <w:szCs w:val="24"/>
          <w:shd w:val="clear" w:color="auto" w:fill="FFFFFF"/>
        </w:rPr>
        <w:t xml:space="preserve"> </w:t>
      </w:r>
      <w:r w:rsidR="0018277E" w:rsidRPr="0E887DD2">
        <w:rPr>
          <w:rStyle w:val="normaltextrun"/>
          <w:color w:val="000000"/>
          <w:sz w:val="24"/>
          <w:szCs w:val="24"/>
          <w:shd w:val="clear" w:color="auto" w:fill="FFFFFF"/>
        </w:rPr>
        <w:t>T</w:t>
      </w:r>
      <w:r w:rsidR="002F137C" w:rsidRPr="0E887DD2">
        <w:rPr>
          <w:rStyle w:val="normaltextrun"/>
          <w:color w:val="000000"/>
          <w:sz w:val="24"/>
          <w:szCs w:val="24"/>
          <w:shd w:val="clear" w:color="auto" w:fill="FFFFFF"/>
        </w:rPr>
        <w:t>he clause could</w:t>
      </w:r>
      <w:r w:rsidR="0018277E" w:rsidRPr="0E887DD2">
        <w:rPr>
          <w:rStyle w:val="normaltextrun"/>
          <w:color w:val="000000"/>
          <w:sz w:val="24"/>
          <w:szCs w:val="24"/>
          <w:shd w:val="clear" w:color="auto" w:fill="FFFFFF"/>
        </w:rPr>
        <w:t>, however,</w:t>
      </w:r>
      <w:r w:rsidR="002F137C" w:rsidRPr="0E887DD2">
        <w:rPr>
          <w:rStyle w:val="normaltextrun"/>
          <w:color w:val="000000"/>
          <w:sz w:val="24"/>
          <w:szCs w:val="24"/>
          <w:shd w:val="clear" w:color="auto" w:fill="FFFFFF"/>
        </w:rPr>
        <w:t xml:space="preserve"> be further strengthened to align with international obligations</w:t>
      </w:r>
      <w:r w:rsidR="00627E0E" w:rsidRPr="0E887DD2">
        <w:rPr>
          <w:rStyle w:val="normaltextrun"/>
          <w:color w:val="000000"/>
          <w:sz w:val="24"/>
          <w:szCs w:val="24"/>
          <w:shd w:val="clear" w:color="auto" w:fill="FFFFFF"/>
        </w:rPr>
        <w:t xml:space="preserve"> under the </w:t>
      </w:r>
      <w:r w:rsidR="00627E0E" w:rsidRPr="0E887DD2">
        <w:rPr>
          <w:rStyle w:val="normaltextrun"/>
          <w:i/>
          <w:iCs/>
          <w:color w:val="000000"/>
          <w:sz w:val="24"/>
          <w:szCs w:val="24"/>
          <w:shd w:val="clear" w:color="auto" w:fill="FFFFFF"/>
        </w:rPr>
        <w:t>UNCRPD</w:t>
      </w:r>
      <w:r w:rsidR="002F137C" w:rsidRPr="0E887DD2">
        <w:rPr>
          <w:rStyle w:val="normaltextrun"/>
          <w:color w:val="000000"/>
          <w:sz w:val="24"/>
          <w:szCs w:val="24"/>
          <w:shd w:val="clear" w:color="auto" w:fill="FFFFFF"/>
        </w:rPr>
        <w:t xml:space="preserve">. </w:t>
      </w:r>
      <w:r w:rsidR="00A43200" w:rsidRPr="0E887DD2">
        <w:rPr>
          <w:rStyle w:val="normaltextrun"/>
          <w:color w:val="000000"/>
          <w:sz w:val="24"/>
          <w:szCs w:val="24"/>
          <w:shd w:val="clear" w:color="auto" w:fill="FFFFFF"/>
        </w:rPr>
        <w:t xml:space="preserve"> </w:t>
      </w:r>
      <w:r w:rsidR="00813BD5" w:rsidRPr="0E887DD2">
        <w:rPr>
          <w:rStyle w:val="normaltextrun"/>
          <w:color w:val="000000"/>
          <w:sz w:val="24"/>
          <w:szCs w:val="24"/>
          <w:shd w:val="clear" w:color="auto" w:fill="FFFFFF"/>
        </w:rPr>
        <w:t xml:space="preserve"> </w:t>
      </w:r>
    </w:p>
    <w:p w14:paraId="7EC4C769" w14:textId="0DE311AC" w:rsidR="000C7D3F" w:rsidRPr="00146C13" w:rsidRDefault="000C7D3F" w:rsidP="0E887DD2">
      <w:pPr>
        <w:spacing w:line="360" w:lineRule="auto"/>
        <w:rPr>
          <w:rStyle w:val="normaltextrun"/>
          <w:b/>
          <w:bCs/>
          <w:color w:val="522E91"/>
          <w:sz w:val="24"/>
          <w:szCs w:val="24"/>
          <w:shd w:val="clear" w:color="auto" w:fill="FFFFFF"/>
        </w:rPr>
      </w:pPr>
      <w:r w:rsidRPr="0E887DD2">
        <w:rPr>
          <w:rStyle w:val="normaltextrun"/>
          <w:color w:val="000000"/>
          <w:sz w:val="24"/>
          <w:szCs w:val="24"/>
          <w:shd w:val="clear" w:color="auto" w:fill="FFFFFF"/>
        </w:rPr>
        <w:t xml:space="preserve">Our organisation’s work is informed by a model called </w:t>
      </w:r>
      <w:r w:rsidRPr="0E887DD2">
        <w:rPr>
          <w:rStyle w:val="normaltextrun"/>
          <w:i/>
          <w:iCs/>
          <w:color w:val="000000"/>
          <w:sz w:val="24"/>
          <w:szCs w:val="24"/>
          <w:shd w:val="clear" w:color="auto" w:fill="FFFFFF"/>
        </w:rPr>
        <w:t>Citizenhood</w:t>
      </w:r>
      <w:r w:rsidRPr="0E887DD2">
        <w:rPr>
          <w:rStyle w:val="normaltextrun"/>
          <w:color w:val="000000"/>
          <w:sz w:val="24"/>
          <w:szCs w:val="24"/>
          <w:shd w:val="clear" w:color="auto" w:fill="FFFFFF"/>
        </w:rPr>
        <w:t xml:space="preserve">. We believe that this model offers a valuable lens </w:t>
      </w:r>
      <w:r w:rsidR="008B1A0C" w:rsidRPr="0E887DD2">
        <w:rPr>
          <w:rStyle w:val="normaltextrun"/>
          <w:color w:val="000000"/>
          <w:sz w:val="24"/>
          <w:szCs w:val="24"/>
          <w:shd w:val="clear" w:color="auto" w:fill="FFFFFF"/>
        </w:rPr>
        <w:t>for</w:t>
      </w:r>
      <w:r w:rsidRPr="0E887DD2">
        <w:rPr>
          <w:rStyle w:val="normaltextrun"/>
          <w:color w:val="000000"/>
          <w:sz w:val="24"/>
          <w:szCs w:val="24"/>
          <w:shd w:val="clear" w:color="auto" w:fill="FFFFFF"/>
        </w:rPr>
        <w:t xml:space="preserve"> the Committee </w:t>
      </w:r>
      <w:r w:rsidR="008B1A0C" w:rsidRPr="0E887DD2">
        <w:rPr>
          <w:rStyle w:val="normaltextrun"/>
          <w:color w:val="000000"/>
          <w:sz w:val="24"/>
          <w:szCs w:val="24"/>
          <w:shd w:val="clear" w:color="auto" w:fill="FFFFFF"/>
        </w:rPr>
        <w:t>to use</w:t>
      </w:r>
      <w:r w:rsidR="00554D97" w:rsidRPr="0E887DD2">
        <w:rPr>
          <w:rStyle w:val="normaltextrun"/>
          <w:color w:val="000000"/>
          <w:sz w:val="24"/>
          <w:szCs w:val="24"/>
          <w:shd w:val="clear" w:color="auto" w:fill="FFFFFF"/>
        </w:rPr>
        <w:t xml:space="preserve"> when determining</w:t>
      </w:r>
      <w:r w:rsidRPr="0E887DD2">
        <w:rPr>
          <w:rStyle w:val="normaltextrun"/>
          <w:color w:val="000000"/>
          <w:sz w:val="24"/>
          <w:szCs w:val="24"/>
          <w:shd w:val="clear" w:color="auto" w:fill="FFFFFF"/>
        </w:rPr>
        <w:t xml:space="preserve"> how to </w:t>
      </w:r>
      <w:r w:rsidR="00554D97" w:rsidRPr="0E887DD2">
        <w:rPr>
          <w:rStyle w:val="normaltextrun"/>
          <w:color w:val="000000"/>
          <w:sz w:val="24"/>
          <w:szCs w:val="24"/>
          <w:shd w:val="clear" w:color="auto" w:fill="FFFFFF"/>
        </w:rPr>
        <w:t>amend</w:t>
      </w:r>
      <w:r w:rsidRPr="0E887DD2">
        <w:rPr>
          <w:rStyle w:val="normaltextrun"/>
          <w:color w:val="000000"/>
          <w:sz w:val="24"/>
          <w:szCs w:val="24"/>
          <w:shd w:val="clear" w:color="auto" w:fill="FFFFFF"/>
        </w:rPr>
        <w:t xml:space="preserve"> </w:t>
      </w:r>
      <w:r w:rsidR="00492EDE" w:rsidRPr="0E887DD2">
        <w:rPr>
          <w:rStyle w:val="normaltextrun"/>
          <w:color w:val="000000"/>
          <w:sz w:val="24"/>
          <w:szCs w:val="24"/>
          <w:shd w:val="clear" w:color="auto" w:fill="FFFFFF"/>
        </w:rPr>
        <w:t>supported decision-making provisions in the Bill</w:t>
      </w:r>
      <w:r w:rsidRPr="0E887DD2">
        <w:rPr>
          <w:rStyle w:val="normaltextrun"/>
          <w:color w:val="000000"/>
          <w:sz w:val="24"/>
          <w:szCs w:val="24"/>
          <w:shd w:val="clear" w:color="auto" w:fill="FFFFFF"/>
        </w:rPr>
        <w:t xml:space="preserve"> to protect decision-making rights. As such, the next section briefly introduces the Model of Citizenhood Support.</w:t>
      </w:r>
      <w:r w:rsidRPr="0E887DD2">
        <w:rPr>
          <w:rStyle w:val="superscript"/>
          <w:color w:val="000000"/>
          <w:sz w:val="24"/>
          <w:szCs w:val="24"/>
          <w:shd w:val="clear" w:color="auto" w:fill="FFFFFF"/>
          <w:vertAlign w:val="superscript"/>
        </w:rPr>
        <w:t>4</w:t>
      </w:r>
      <w:r w:rsidRPr="0E887DD2">
        <w:rPr>
          <w:rStyle w:val="normaltextrun"/>
          <w:color w:val="000000"/>
          <w:sz w:val="24"/>
          <w:szCs w:val="24"/>
          <w:shd w:val="clear" w:color="auto" w:fill="FFFFFF"/>
        </w:rPr>
        <w:t xml:space="preserve"> We encourage the </w:t>
      </w:r>
      <w:r w:rsidR="00492EDE" w:rsidRPr="0E887DD2">
        <w:rPr>
          <w:rStyle w:val="normaltextrun"/>
          <w:color w:val="000000"/>
          <w:sz w:val="24"/>
          <w:szCs w:val="24"/>
          <w:shd w:val="clear" w:color="auto" w:fill="FFFFFF"/>
        </w:rPr>
        <w:t>Committee</w:t>
      </w:r>
      <w:r w:rsidRPr="0E887DD2">
        <w:rPr>
          <w:rStyle w:val="normaltextrun"/>
          <w:color w:val="000000"/>
          <w:sz w:val="24"/>
          <w:szCs w:val="24"/>
          <w:shd w:val="clear" w:color="auto" w:fill="FFFFFF"/>
        </w:rPr>
        <w:t xml:space="preserve"> to access the full paper via our </w:t>
      </w:r>
      <w:hyperlink r:id="rId15" w:tgtFrame="_blank" w:history="1">
        <w:r w:rsidRPr="0E887DD2">
          <w:rPr>
            <w:rStyle w:val="normaltextrun"/>
            <w:color w:val="0000FF"/>
            <w:sz w:val="24"/>
            <w:szCs w:val="24"/>
            <w:u w:val="single"/>
            <w:shd w:val="clear" w:color="auto" w:fill="FFFFFF"/>
          </w:rPr>
          <w:t>website</w:t>
        </w:r>
      </w:hyperlink>
      <w:r w:rsidRPr="0E887DD2">
        <w:rPr>
          <w:rStyle w:val="normaltextrun"/>
          <w:color w:val="000000"/>
          <w:sz w:val="24"/>
          <w:szCs w:val="24"/>
          <w:shd w:val="clear" w:color="auto" w:fill="FFFFFF"/>
        </w:rPr>
        <w:t>.</w:t>
      </w:r>
      <w:r w:rsidRPr="0E887DD2">
        <w:rPr>
          <w:rStyle w:val="eop"/>
          <w:color w:val="000000"/>
          <w:sz w:val="24"/>
          <w:szCs w:val="24"/>
          <w:shd w:val="clear" w:color="auto" w:fill="FFFFFF"/>
        </w:rPr>
        <w:t> </w:t>
      </w:r>
    </w:p>
    <w:p w14:paraId="77177751" w14:textId="0A36FCF0" w:rsidR="00EE672D" w:rsidRPr="00E5523F" w:rsidRDefault="000E437B" w:rsidP="0E887DD2">
      <w:pPr>
        <w:pStyle w:val="Heading2"/>
        <w:keepNext w:val="0"/>
        <w:keepLines w:val="0"/>
        <w:spacing w:line="360" w:lineRule="auto"/>
      </w:pPr>
      <w:bookmarkStart w:id="13" w:name="_Toc156546027"/>
      <w:r>
        <w:rPr>
          <w:rStyle w:val="normaltextrun"/>
          <w:rFonts w:asciiTheme="minorHAnsi" w:hAnsiTheme="minorHAnsi" w:cstheme="minorBidi"/>
          <w:color w:val="522E91"/>
        </w:rPr>
        <w:t xml:space="preserve">7.1 </w:t>
      </w:r>
      <w:r w:rsidR="00EE672D" w:rsidRPr="2C561418">
        <w:rPr>
          <w:rStyle w:val="normaltextrun"/>
          <w:rFonts w:asciiTheme="minorHAnsi" w:hAnsiTheme="minorHAnsi" w:cstheme="minorBidi"/>
          <w:color w:val="522E91"/>
        </w:rPr>
        <w:t>Model of Citizenhood Support</w:t>
      </w:r>
      <w:bookmarkEnd w:id="13"/>
      <w:r w:rsidR="00EE672D" w:rsidRPr="2C561418">
        <w:rPr>
          <w:rStyle w:val="eop"/>
          <w:rFonts w:asciiTheme="minorHAnsi" w:hAnsiTheme="minorHAnsi" w:cstheme="minorBidi"/>
          <w:color w:val="522E91"/>
        </w:rPr>
        <w:t> </w:t>
      </w:r>
    </w:p>
    <w:p w14:paraId="5A4964FF" w14:textId="543B1535" w:rsidR="00EE672D" w:rsidRPr="00146C13" w:rsidRDefault="00EE672D" w:rsidP="0E887DD2">
      <w:pPr>
        <w:pStyle w:val="paragraph"/>
        <w:spacing w:before="0" w:after="0" w:afterAutospacing="0" w:line="360" w:lineRule="auto"/>
        <w:textAlignment w:val="baseline"/>
        <w:rPr>
          <w:rFonts w:asciiTheme="minorHAnsi" w:hAnsiTheme="minorHAnsi" w:cstheme="minorBidi"/>
        </w:rPr>
      </w:pPr>
      <w:r w:rsidRPr="0E887DD2">
        <w:rPr>
          <w:rStyle w:val="normaltextrun"/>
          <w:rFonts w:asciiTheme="minorHAnsi" w:hAnsiTheme="minorHAnsi" w:cstheme="minorBidi"/>
          <w:color w:val="000000" w:themeColor="text1"/>
        </w:rPr>
        <w:lastRenderedPageBreak/>
        <w:t xml:space="preserve">JFA Purple Orange believes that the right to make one’s own decisions is fundamental to living a good life. </w:t>
      </w:r>
      <w:r w:rsidRPr="0E887DD2">
        <w:rPr>
          <w:rStyle w:val="normaltextrun"/>
          <w:rFonts w:asciiTheme="minorHAnsi" w:hAnsiTheme="minorHAnsi" w:cstheme="minorBidi"/>
        </w:rPr>
        <w:t xml:space="preserve">A good life largely depends on the availability of life chances – the assets and opportunities available to a person. The Model of Citizenhood Support, developed by our agency, provides a framework for advancing and maintaining life chances so that each person can live a good, valued life of </w:t>
      </w:r>
      <w:r w:rsidRPr="0E887DD2">
        <w:rPr>
          <w:rStyle w:val="normaltextrun"/>
          <w:rFonts w:asciiTheme="minorHAnsi" w:hAnsiTheme="minorHAnsi" w:cstheme="minorBidi"/>
          <w:i/>
          <w:iCs/>
        </w:rPr>
        <w:t>Citizenhood</w:t>
      </w:r>
      <w:r w:rsidRPr="0E887DD2">
        <w:rPr>
          <w:rStyle w:val="normaltextrun"/>
          <w:rFonts w:asciiTheme="minorHAnsi" w:hAnsiTheme="minorHAnsi" w:cstheme="minorBidi"/>
        </w:rPr>
        <w:t xml:space="preserve">. The Model provides a comprehensive framework for organising law, policy, and practice in support of people living with disability. Although it was developed with a focus on the life chances of people living with disability, it is also a highly relevant lens through which to approach </w:t>
      </w:r>
      <w:r w:rsidR="001A3B77" w:rsidRPr="0E887DD2">
        <w:rPr>
          <w:rStyle w:val="normaltextrun"/>
          <w:rFonts w:asciiTheme="minorHAnsi" w:hAnsiTheme="minorHAnsi" w:cstheme="minorBidi"/>
        </w:rPr>
        <w:t>the drafting of provisions</w:t>
      </w:r>
      <w:r w:rsidRPr="0E887DD2">
        <w:rPr>
          <w:rStyle w:val="normaltextrun"/>
          <w:rFonts w:asciiTheme="minorHAnsi" w:hAnsiTheme="minorHAnsi" w:cstheme="minorBidi"/>
        </w:rPr>
        <w:t xml:space="preserve"> regarding the</w:t>
      </w:r>
      <w:r w:rsidR="001A3B77" w:rsidRPr="0E887DD2">
        <w:rPr>
          <w:rStyle w:val="normaltextrun"/>
          <w:rFonts w:asciiTheme="minorHAnsi" w:hAnsiTheme="minorHAnsi" w:cstheme="minorBidi"/>
        </w:rPr>
        <w:t xml:space="preserve"> appointment of a litigation guardian</w:t>
      </w:r>
      <w:r w:rsidRPr="0E887DD2">
        <w:rPr>
          <w:rStyle w:val="normaltextrun"/>
          <w:rFonts w:asciiTheme="minorHAnsi" w:hAnsiTheme="minorHAnsi" w:cstheme="minorBidi"/>
        </w:rPr>
        <w:t>. Hence, we urge the Co</w:t>
      </w:r>
      <w:r w:rsidR="001A3B77" w:rsidRPr="0E887DD2">
        <w:rPr>
          <w:rStyle w:val="normaltextrun"/>
          <w:rFonts w:asciiTheme="minorHAnsi" w:hAnsiTheme="minorHAnsi" w:cstheme="minorBidi"/>
        </w:rPr>
        <w:t>mmittee to</w:t>
      </w:r>
      <w:r w:rsidRPr="0E887DD2">
        <w:rPr>
          <w:rStyle w:val="normaltextrun"/>
          <w:rFonts w:asciiTheme="minorHAnsi" w:hAnsiTheme="minorHAnsi" w:cstheme="minorBidi"/>
        </w:rPr>
        <w:t xml:space="preserve"> consider how it can usefully </w:t>
      </w:r>
      <w:r w:rsidR="00923E3A" w:rsidRPr="0E887DD2">
        <w:rPr>
          <w:rStyle w:val="normaltextrun"/>
          <w:rFonts w:asciiTheme="minorHAnsi" w:hAnsiTheme="minorHAnsi" w:cstheme="minorBidi"/>
        </w:rPr>
        <w:t>amend clause 67</w:t>
      </w:r>
      <w:r w:rsidRPr="0E887DD2">
        <w:rPr>
          <w:rStyle w:val="normaltextrun"/>
          <w:rFonts w:asciiTheme="minorHAnsi" w:hAnsiTheme="minorHAnsi" w:cstheme="minorBidi"/>
        </w:rPr>
        <w:t xml:space="preserve"> to ensure the human right of all Australians to </w:t>
      </w:r>
      <w:r w:rsidR="00C70710" w:rsidRPr="0E887DD2">
        <w:rPr>
          <w:rStyle w:val="normaltextrun"/>
          <w:rFonts w:asciiTheme="minorHAnsi" w:hAnsiTheme="minorHAnsi" w:cstheme="minorBidi"/>
        </w:rPr>
        <w:t>make decisions</w:t>
      </w:r>
      <w:r w:rsidRPr="0E887DD2">
        <w:rPr>
          <w:rStyle w:val="normaltextrun"/>
          <w:rFonts w:asciiTheme="minorHAnsi" w:hAnsiTheme="minorHAnsi" w:cstheme="minorBidi"/>
        </w:rPr>
        <w:t xml:space="preserve"> is acknowledged, respected, protected, and promoted. </w:t>
      </w:r>
      <w:r w:rsidRPr="0E887DD2">
        <w:rPr>
          <w:rStyle w:val="eop"/>
          <w:rFonts w:asciiTheme="minorHAnsi" w:hAnsiTheme="minorHAnsi" w:cstheme="minorBidi"/>
        </w:rPr>
        <w:t> </w:t>
      </w:r>
    </w:p>
    <w:p w14:paraId="4CB46D2B" w14:textId="77777777" w:rsidR="00EE672D" w:rsidRPr="00146C13" w:rsidRDefault="00EE672D" w:rsidP="0E887DD2">
      <w:pPr>
        <w:pStyle w:val="paragraph"/>
        <w:spacing w:before="0" w:after="0" w:afterAutospacing="0" w:line="360" w:lineRule="auto"/>
        <w:textAlignment w:val="baseline"/>
        <w:rPr>
          <w:rFonts w:asciiTheme="minorHAnsi" w:hAnsiTheme="minorHAnsi" w:cstheme="minorBidi"/>
        </w:rPr>
      </w:pPr>
      <w:r w:rsidRPr="0E887DD2">
        <w:rPr>
          <w:rStyle w:val="normaltextrun"/>
          <w:rFonts w:asciiTheme="minorHAnsi" w:hAnsiTheme="minorHAnsi" w:cstheme="minorBidi"/>
          <w:i/>
          <w:iCs/>
        </w:rPr>
        <w:t>Citizenhood</w:t>
      </w:r>
      <w:r w:rsidRPr="0E887DD2">
        <w:rPr>
          <w:rStyle w:val="normaltextrun"/>
          <w:rFonts w:asciiTheme="minorHAnsi" w:hAnsiTheme="minorHAnsi" w:cstheme="minorBidi"/>
        </w:rPr>
        <w:t xml:space="preserve"> describes a situation where a person is an active and valued member of their local community. Their lifestyle is informed by personally defined </w:t>
      </w:r>
      <w:r w:rsidRPr="0E887DD2">
        <w:rPr>
          <w:rStyle w:val="normaltextrun"/>
          <w:rFonts w:asciiTheme="minorHAnsi" w:hAnsiTheme="minorHAnsi" w:cstheme="minorBidi"/>
          <w:i/>
          <w:iCs/>
        </w:rPr>
        <w:t>choices</w:t>
      </w:r>
      <w:r w:rsidRPr="0E887DD2">
        <w:rPr>
          <w:rStyle w:val="normaltextrun"/>
          <w:rFonts w:asciiTheme="minorHAnsi" w:hAnsiTheme="minorHAnsi" w:cstheme="minorBidi"/>
        </w:rPr>
        <w:t xml:space="preserve">, and they can grow through their involvement in meaningful activities and by their participation in a network of relationships characterised by acceptance, belonging, and love. </w:t>
      </w:r>
      <w:r w:rsidRPr="0E887DD2">
        <w:rPr>
          <w:rStyle w:val="normaltextrun"/>
          <w:rFonts w:asciiTheme="minorHAnsi" w:hAnsiTheme="minorHAnsi" w:cstheme="minorBidi"/>
          <w:i/>
          <w:iCs/>
        </w:rPr>
        <w:t>Citizenhood</w:t>
      </w:r>
      <w:r w:rsidRPr="0E887DD2">
        <w:rPr>
          <w:rStyle w:val="normaltextrun"/>
          <w:rFonts w:asciiTheme="minorHAnsi" w:hAnsiTheme="minorHAnsi" w:cstheme="minorBidi"/>
        </w:rPr>
        <w:t xml:space="preserve"> comprises roles that are valued by our communities: family member, friend, neighbour, worker, club member, customer, etc. It is dynamic in that it can rise or fall depending on a person’s specific circumstances. </w:t>
      </w:r>
      <w:r w:rsidRPr="0E887DD2">
        <w:rPr>
          <w:rStyle w:val="eop"/>
          <w:rFonts w:asciiTheme="minorHAnsi" w:hAnsiTheme="minorHAnsi" w:cstheme="minorBidi"/>
        </w:rPr>
        <w:t> </w:t>
      </w:r>
    </w:p>
    <w:p w14:paraId="40CCDEFE" w14:textId="77777777" w:rsidR="00EE672D" w:rsidRPr="00146C13" w:rsidRDefault="00EE672D" w:rsidP="0E887DD2">
      <w:pPr>
        <w:pStyle w:val="paragraph"/>
        <w:spacing w:before="0" w:after="0" w:afterAutospacing="0" w:line="360" w:lineRule="auto"/>
        <w:textAlignment w:val="baseline"/>
        <w:rPr>
          <w:rFonts w:asciiTheme="minorHAnsi" w:hAnsiTheme="minorHAnsi" w:cstheme="minorBidi"/>
        </w:rPr>
      </w:pPr>
      <w:r w:rsidRPr="0E887DD2">
        <w:rPr>
          <w:rStyle w:val="normaltextrun"/>
          <w:rFonts w:asciiTheme="minorHAnsi" w:hAnsiTheme="minorHAnsi" w:cstheme="minorBidi"/>
        </w:rPr>
        <w:t xml:space="preserve">The concept of </w:t>
      </w:r>
      <w:r w:rsidRPr="0E887DD2">
        <w:rPr>
          <w:rStyle w:val="normaltextrun"/>
          <w:rFonts w:asciiTheme="minorHAnsi" w:hAnsiTheme="minorHAnsi" w:cstheme="minorBidi"/>
          <w:i/>
          <w:iCs/>
        </w:rPr>
        <w:t>Citizenhood</w:t>
      </w:r>
      <w:r w:rsidRPr="0E887DD2">
        <w:rPr>
          <w:rStyle w:val="normaltextrun"/>
          <w:rFonts w:asciiTheme="minorHAnsi" w:hAnsiTheme="minorHAnsi" w:cstheme="minorBidi"/>
        </w:rPr>
        <w:t xml:space="preserve"> is not to be confused with the concept of Citizenship, which is a much narrower static construct typically referring to membership of a country. </w:t>
      </w:r>
      <w:r w:rsidRPr="0E887DD2">
        <w:rPr>
          <w:rStyle w:val="eop"/>
          <w:rFonts w:asciiTheme="minorHAnsi" w:hAnsiTheme="minorHAnsi" w:cstheme="minorBidi"/>
        </w:rPr>
        <w:t> </w:t>
      </w:r>
    </w:p>
    <w:p w14:paraId="0E937DFC" w14:textId="77777777" w:rsidR="00EE672D" w:rsidRPr="00146C13" w:rsidRDefault="00EE672D" w:rsidP="0E887DD2">
      <w:pPr>
        <w:pStyle w:val="paragraph"/>
        <w:spacing w:before="0" w:after="0" w:afterAutospacing="0" w:line="360" w:lineRule="auto"/>
        <w:textAlignment w:val="baseline"/>
        <w:rPr>
          <w:rFonts w:asciiTheme="minorHAnsi" w:hAnsiTheme="minorHAnsi" w:cstheme="minorBidi"/>
        </w:rPr>
      </w:pPr>
      <w:r w:rsidRPr="0E887DD2">
        <w:rPr>
          <w:rStyle w:val="normaltextrun"/>
          <w:rFonts w:asciiTheme="minorHAnsi" w:hAnsiTheme="minorHAnsi" w:cstheme="minorBidi"/>
        </w:rPr>
        <w:t>The Model asserts that our life chances comprise four different, interrelated, types of assets we can call upon, termed the Four Capitals. These are: Personal Capital (how the person sees themself, including how that is affected by how others see them; both of which are impacted by making one’s own decisions); Knowledge Capital (what the person knows and can do); Material Capital (money and the tangible things in the person’s life); and Social Capital (the people in the person’s life).</w:t>
      </w:r>
      <w:r w:rsidRPr="0E887DD2">
        <w:rPr>
          <w:rStyle w:val="eop"/>
          <w:rFonts w:asciiTheme="minorHAnsi" w:hAnsiTheme="minorHAnsi" w:cstheme="minorBidi"/>
        </w:rPr>
        <w:t> </w:t>
      </w:r>
    </w:p>
    <w:p w14:paraId="4B54D981" w14:textId="4F2BB624" w:rsidR="00EE672D" w:rsidRPr="00146C13" w:rsidRDefault="00EE672D" w:rsidP="0E887DD2">
      <w:pPr>
        <w:pStyle w:val="paragraph"/>
        <w:spacing w:before="0" w:after="0" w:afterAutospacing="0" w:line="360" w:lineRule="auto"/>
        <w:textAlignment w:val="baseline"/>
        <w:rPr>
          <w:rFonts w:asciiTheme="minorHAnsi" w:hAnsiTheme="minorHAnsi" w:cstheme="minorBidi"/>
        </w:rPr>
      </w:pPr>
      <w:r w:rsidRPr="0E887DD2">
        <w:rPr>
          <w:rStyle w:val="normaltextrun"/>
          <w:rFonts w:asciiTheme="minorHAnsi" w:hAnsiTheme="minorHAnsi" w:cstheme="minorBidi"/>
        </w:rPr>
        <w:t>When human rights are violated, such as when decision</w:t>
      </w:r>
      <w:r w:rsidR="00B87A65" w:rsidRPr="0E887DD2">
        <w:rPr>
          <w:rStyle w:val="normaltextrun"/>
          <w:rFonts w:asciiTheme="minorHAnsi" w:hAnsiTheme="minorHAnsi" w:cstheme="minorBidi"/>
        </w:rPr>
        <w:t>-</w:t>
      </w:r>
      <w:r w:rsidRPr="0E887DD2">
        <w:rPr>
          <w:rStyle w:val="normaltextrun"/>
          <w:rFonts w:asciiTheme="minorHAnsi" w:hAnsiTheme="minorHAnsi" w:cstheme="minorBidi"/>
        </w:rPr>
        <w:t xml:space="preserve">making ability is taken away, the consequences can be understood in terms of the negative impact on a person’s Personal Capital (for example, loss of self-esteem, physical and psychological trauma, feelings of </w:t>
      </w:r>
      <w:r w:rsidRPr="0E887DD2">
        <w:rPr>
          <w:rStyle w:val="normaltextrun"/>
          <w:rFonts w:asciiTheme="minorHAnsi" w:hAnsiTheme="minorHAnsi" w:cstheme="minorBidi"/>
        </w:rPr>
        <w:lastRenderedPageBreak/>
        <w:t>helplessness and hopelessness, denial of self-advocacy voice, etc), Knowledge Capital (for example, loss of access to education and learning, denial of recognition of skill and knowledge, etc), Material Capital (for example, denial/loss of access to material resources such as housing, transport, fair wages, community venues and amenities, justice mechanisms, etc), and Social Capital (for example, denial/loss of access to significant others in the person’s life, with a corresponding loneliness and isolation). </w:t>
      </w:r>
      <w:r w:rsidRPr="0E887DD2">
        <w:rPr>
          <w:rStyle w:val="eop"/>
          <w:rFonts w:asciiTheme="minorHAnsi" w:hAnsiTheme="minorHAnsi" w:cstheme="minorBidi"/>
        </w:rPr>
        <w:t> </w:t>
      </w:r>
    </w:p>
    <w:p w14:paraId="43A15B2A" w14:textId="77777777" w:rsidR="007607A8" w:rsidRDefault="00EE672D" w:rsidP="0E887DD2">
      <w:pPr>
        <w:pStyle w:val="paragraph"/>
        <w:spacing w:before="0" w:after="0" w:afterAutospacing="0" w:line="360" w:lineRule="auto"/>
        <w:textAlignment w:val="baseline"/>
        <w:rPr>
          <w:rFonts w:asciiTheme="minorHAnsi" w:hAnsiTheme="minorHAnsi" w:cstheme="minorBidi"/>
        </w:rPr>
      </w:pPr>
      <w:r w:rsidRPr="0E887DD2">
        <w:rPr>
          <w:rStyle w:val="normaltextrun"/>
          <w:rFonts w:asciiTheme="minorHAnsi" w:hAnsiTheme="minorHAnsi" w:cstheme="minorBidi"/>
        </w:rPr>
        <w:t xml:space="preserve">Conversely, when the right to decision making is upheld and defended, the consequences can be understood in terms of the </w:t>
      </w:r>
      <w:r w:rsidRPr="0E887DD2">
        <w:rPr>
          <w:rStyle w:val="normaltextrun"/>
          <w:rFonts w:asciiTheme="minorHAnsi" w:hAnsiTheme="minorHAnsi" w:cstheme="minorBidi"/>
          <w:i/>
          <w:iCs/>
        </w:rPr>
        <w:t>positive</w:t>
      </w:r>
      <w:r w:rsidRPr="0E887DD2">
        <w:rPr>
          <w:rStyle w:val="normaltextrun"/>
          <w:rFonts w:asciiTheme="minorHAnsi" w:hAnsiTheme="minorHAnsi" w:cstheme="minorBidi"/>
        </w:rPr>
        <w:t xml:space="preserve"> impact on the person’s Personal Capital (for example, growth of self-esteem, physical and psychological wellbeing, the person having personal and hopeful agency in their own life, exercise of self-advocacy voice, etc), Knowledge Capital (for example, access to education and learning and the growth that comes from this, recognition of skill and knowledge, etc), Material Capital (for example, fair and equitable access to material resources such as housing, transport, fair wages, community venues and amenities, justice mechanisms, etc), and Social Capital (for example, access to significant others in the person’s life, with a corresponding presence of love and belonging). </w:t>
      </w:r>
      <w:r w:rsidRPr="0E887DD2">
        <w:rPr>
          <w:rStyle w:val="eop"/>
          <w:rFonts w:asciiTheme="minorHAnsi" w:hAnsiTheme="minorHAnsi" w:cstheme="minorBidi"/>
        </w:rPr>
        <w:t> </w:t>
      </w:r>
    </w:p>
    <w:p w14:paraId="6D68E318" w14:textId="07903DD9" w:rsidR="00EE672D" w:rsidRDefault="00EE672D" w:rsidP="0E887DD2">
      <w:pPr>
        <w:pStyle w:val="paragraph"/>
        <w:spacing w:before="0" w:after="0" w:afterAutospacing="0" w:line="360" w:lineRule="auto"/>
        <w:textAlignment w:val="baseline"/>
        <w:rPr>
          <w:rStyle w:val="eop"/>
          <w:rFonts w:asciiTheme="minorHAnsi" w:hAnsiTheme="minorHAnsi" w:cstheme="minorBidi"/>
        </w:rPr>
      </w:pPr>
      <w:r w:rsidRPr="0E887DD2">
        <w:rPr>
          <w:rStyle w:val="normaltextrun"/>
          <w:rFonts w:asciiTheme="minorHAnsi" w:hAnsiTheme="minorHAnsi" w:cstheme="minorBidi"/>
        </w:rPr>
        <w:t xml:space="preserve">In these ways and more, the </w:t>
      </w:r>
      <w:r w:rsidRPr="0E887DD2">
        <w:rPr>
          <w:rStyle w:val="normaltextrun"/>
          <w:rFonts w:asciiTheme="minorHAnsi" w:hAnsiTheme="minorHAnsi" w:cstheme="minorBidi"/>
          <w:i/>
          <w:iCs/>
        </w:rPr>
        <w:t>Citizenhood</w:t>
      </w:r>
      <w:r w:rsidRPr="0E887DD2">
        <w:rPr>
          <w:rStyle w:val="normaltextrun"/>
          <w:rFonts w:asciiTheme="minorHAnsi" w:hAnsiTheme="minorHAnsi" w:cstheme="minorBidi"/>
        </w:rPr>
        <w:t xml:space="preserve"> model can provide an effective framework for advancing a comprehensive national approach for the upholding of the right to exercise decision</w:t>
      </w:r>
      <w:r w:rsidR="00503903" w:rsidRPr="0E887DD2">
        <w:rPr>
          <w:rStyle w:val="normaltextrun"/>
          <w:rFonts w:asciiTheme="minorHAnsi" w:hAnsiTheme="minorHAnsi" w:cstheme="minorBidi"/>
        </w:rPr>
        <w:t>-</w:t>
      </w:r>
      <w:r w:rsidRPr="0E887DD2">
        <w:rPr>
          <w:rStyle w:val="normaltextrun"/>
          <w:rFonts w:asciiTheme="minorHAnsi" w:hAnsiTheme="minorHAnsi" w:cstheme="minorBidi"/>
        </w:rPr>
        <w:t>making ability. </w:t>
      </w:r>
      <w:r w:rsidRPr="0E887DD2">
        <w:rPr>
          <w:rStyle w:val="eop"/>
          <w:rFonts w:asciiTheme="minorHAnsi" w:hAnsiTheme="minorHAnsi" w:cstheme="minorBidi"/>
        </w:rPr>
        <w:t> </w:t>
      </w:r>
    </w:p>
    <w:p w14:paraId="77E8F016" w14:textId="4E55FAAD" w:rsidR="00C758D5" w:rsidRPr="00C758D5" w:rsidRDefault="00C758D5" w:rsidP="00C758D5">
      <w:pPr>
        <w:spacing w:line="360" w:lineRule="auto"/>
        <w:rPr>
          <w:rStyle w:val="normaltextrun"/>
          <w:color w:val="000000"/>
          <w:sz w:val="24"/>
          <w:szCs w:val="24"/>
        </w:rPr>
      </w:pPr>
      <w:r w:rsidRPr="00162FF8">
        <w:rPr>
          <w:rStyle w:val="normaltextrun"/>
          <w:b/>
          <w:bCs/>
          <w:color w:val="522E91"/>
          <w:sz w:val="24"/>
          <w:szCs w:val="24"/>
        </w:rPr>
        <w:t xml:space="preserve">Recommendation </w:t>
      </w:r>
      <w:r>
        <w:rPr>
          <w:rStyle w:val="normaltextrun"/>
          <w:b/>
          <w:bCs/>
          <w:color w:val="522E91"/>
          <w:sz w:val="24"/>
          <w:szCs w:val="24"/>
        </w:rPr>
        <w:t>9</w:t>
      </w:r>
      <w:r w:rsidRPr="00162FF8">
        <w:rPr>
          <w:rStyle w:val="normaltextrun"/>
          <w:b/>
          <w:bCs/>
          <w:color w:val="522E91"/>
          <w:sz w:val="24"/>
          <w:szCs w:val="24"/>
        </w:rPr>
        <w:t>:</w:t>
      </w:r>
      <w:r w:rsidRPr="00162FF8">
        <w:rPr>
          <w:rStyle w:val="normaltextrun"/>
          <w:b/>
          <w:bCs/>
          <w:color w:val="7030A0"/>
          <w:sz w:val="24"/>
          <w:szCs w:val="24"/>
        </w:rPr>
        <w:t> </w:t>
      </w:r>
      <w:r w:rsidRPr="00162FF8">
        <w:rPr>
          <w:rStyle w:val="normaltextrun"/>
          <w:b/>
          <w:bCs/>
          <w:sz w:val="24"/>
          <w:szCs w:val="24"/>
        </w:rPr>
        <w:t xml:space="preserve">The Committee should recommend </w:t>
      </w:r>
      <w:r>
        <w:rPr>
          <w:rStyle w:val="normaltextrun"/>
          <w:b/>
          <w:bCs/>
          <w:sz w:val="24"/>
          <w:szCs w:val="24"/>
        </w:rPr>
        <w:t xml:space="preserve">that the Parliament use the </w:t>
      </w:r>
      <w:r w:rsidRPr="00C758D5">
        <w:rPr>
          <w:rStyle w:val="normaltextrun"/>
          <w:b/>
          <w:bCs/>
          <w:i/>
          <w:iCs/>
          <w:sz w:val="24"/>
          <w:szCs w:val="24"/>
        </w:rPr>
        <w:t>Citizenhood</w:t>
      </w:r>
      <w:r>
        <w:rPr>
          <w:rStyle w:val="normaltextrun"/>
          <w:b/>
          <w:bCs/>
          <w:i/>
          <w:iCs/>
          <w:sz w:val="24"/>
          <w:szCs w:val="24"/>
        </w:rPr>
        <w:t xml:space="preserve"> </w:t>
      </w:r>
      <w:r>
        <w:rPr>
          <w:rStyle w:val="normaltextrun"/>
          <w:b/>
          <w:bCs/>
          <w:sz w:val="24"/>
          <w:szCs w:val="24"/>
        </w:rPr>
        <w:t xml:space="preserve">model as a lens to evaluate the </w:t>
      </w:r>
      <w:r w:rsidR="00D53B59">
        <w:rPr>
          <w:rStyle w:val="normaltextrun"/>
          <w:b/>
          <w:bCs/>
          <w:sz w:val="24"/>
          <w:szCs w:val="24"/>
        </w:rPr>
        <w:t>implications the Bill will have on the life chances of people living with disability.</w:t>
      </w:r>
    </w:p>
    <w:p w14:paraId="36777423" w14:textId="0D70C4F6" w:rsidR="00CA36D0" w:rsidRPr="00B47553" w:rsidRDefault="000E437B" w:rsidP="48893F7C">
      <w:pPr>
        <w:spacing w:line="360" w:lineRule="auto"/>
        <w:rPr>
          <w:color w:val="7030A0"/>
          <w:sz w:val="26"/>
          <w:szCs w:val="26"/>
          <w:lang w:val="en-US"/>
        </w:rPr>
      </w:pPr>
      <w:r>
        <w:rPr>
          <w:color w:val="7030A0"/>
          <w:sz w:val="26"/>
          <w:szCs w:val="26"/>
          <w:lang w:val="en-US"/>
        </w:rPr>
        <w:t xml:space="preserve">7.2 </w:t>
      </w:r>
      <w:r w:rsidR="00CA36D0" w:rsidRPr="48893F7C">
        <w:rPr>
          <w:color w:val="7030A0"/>
          <w:sz w:val="26"/>
          <w:szCs w:val="26"/>
          <w:lang w:val="en-US"/>
        </w:rPr>
        <w:t>Right to Supported Decision Making</w:t>
      </w:r>
    </w:p>
    <w:p w14:paraId="077DC2D9" w14:textId="25EE6440" w:rsidR="00B13C17" w:rsidRDefault="00B13C17" w:rsidP="0E887DD2">
      <w:pPr>
        <w:pStyle w:val="paragraph"/>
        <w:spacing w:before="0" w:beforeAutospacing="0" w:after="0" w:afterAutospacing="0" w:line="360" w:lineRule="auto"/>
        <w:jc w:val="both"/>
        <w:textAlignment w:val="baseline"/>
        <w:rPr>
          <w:rStyle w:val="eop"/>
          <w:rFonts w:ascii="Calibri" w:hAnsi="Calibri" w:cs="Calibri"/>
        </w:rPr>
      </w:pPr>
      <w:r w:rsidRPr="0E887DD2">
        <w:rPr>
          <w:rStyle w:val="normaltextrun"/>
          <w:rFonts w:ascii="Calibri" w:hAnsi="Calibri" w:cs="Calibri"/>
        </w:rPr>
        <w:t xml:space="preserve">Canadian Associate Professor of Law Faisal </w:t>
      </w:r>
      <w:proofErr w:type="spellStart"/>
      <w:r w:rsidRPr="0E887DD2">
        <w:rPr>
          <w:rStyle w:val="normaltextrun"/>
          <w:rFonts w:ascii="Calibri" w:hAnsi="Calibri" w:cs="Calibri"/>
        </w:rPr>
        <w:t>Bhaba</w:t>
      </w:r>
      <w:proofErr w:type="spellEnd"/>
      <w:r w:rsidRPr="0E887DD2">
        <w:rPr>
          <w:rStyle w:val="normaltextrun"/>
          <w:rFonts w:ascii="Calibri" w:hAnsi="Calibri" w:cs="Calibri"/>
        </w:rPr>
        <w:t xml:space="preserve"> eloquently encapsulates the implications of stripping people living with disability of their right under </w:t>
      </w:r>
      <w:r w:rsidR="005F64E0" w:rsidRPr="0E887DD2">
        <w:rPr>
          <w:rStyle w:val="normaltextrun"/>
          <w:rFonts w:ascii="Calibri" w:hAnsi="Calibri" w:cs="Calibri"/>
        </w:rPr>
        <w:t>a</w:t>
      </w:r>
      <w:r w:rsidRPr="0E887DD2">
        <w:rPr>
          <w:rStyle w:val="normaltextrun"/>
          <w:rFonts w:ascii="Calibri" w:hAnsi="Calibri" w:cs="Calibri"/>
        </w:rPr>
        <w:t xml:space="preserve">rticle 12 of the UN Convention on the Right of </w:t>
      </w:r>
      <w:r w:rsidR="5CD77068" w:rsidRPr="0E887DD2">
        <w:rPr>
          <w:rStyle w:val="normaltextrun"/>
          <w:rFonts w:ascii="Calibri" w:hAnsi="Calibri" w:cs="Calibri"/>
        </w:rPr>
        <w:t>People</w:t>
      </w:r>
      <w:r w:rsidRPr="0E887DD2">
        <w:rPr>
          <w:rStyle w:val="normaltextrun"/>
          <w:rFonts w:ascii="Calibri" w:hAnsi="Calibri" w:cs="Calibri"/>
        </w:rPr>
        <w:t xml:space="preserve"> with Disabilities (UNCPRD) to make decisions: </w:t>
      </w:r>
      <w:r w:rsidRPr="0E887DD2">
        <w:rPr>
          <w:rStyle w:val="eop"/>
          <w:rFonts w:ascii="Calibri" w:hAnsi="Calibri" w:cs="Calibri"/>
        </w:rPr>
        <w:t> </w:t>
      </w:r>
    </w:p>
    <w:p w14:paraId="1241185D" w14:textId="77777777" w:rsidR="00CA36D0" w:rsidRDefault="00CA36D0" w:rsidP="0E887DD2">
      <w:pPr>
        <w:pStyle w:val="paragraph"/>
        <w:spacing w:before="0" w:beforeAutospacing="0" w:after="0" w:afterAutospacing="0" w:line="360" w:lineRule="auto"/>
        <w:jc w:val="both"/>
        <w:textAlignment w:val="baseline"/>
        <w:rPr>
          <w:rFonts w:ascii="Segoe UI" w:hAnsi="Segoe UI" w:cs="Segoe UI"/>
          <w:sz w:val="18"/>
          <w:szCs w:val="18"/>
        </w:rPr>
      </w:pPr>
    </w:p>
    <w:p w14:paraId="7859CF72" w14:textId="0BD06907" w:rsidR="003871AC" w:rsidRPr="00803D3A" w:rsidRDefault="00B13C17" w:rsidP="0E887DD2">
      <w:pPr>
        <w:pStyle w:val="paragraph"/>
        <w:spacing w:before="0" w:beforeAutospacing="0" w:after="0" w:afterAutospacing="0" w:line="360" w:lineRule="auto"/>
        <w:ind w:left="720" w:right="720"/>
        <w:textAlignment w:val="baseline"/>
        <w:rPr>
          <w:rStyle w:val="eop"/>
          <w:rFonts w:ascii="Calibri" w:hAnsi="Calibri" w:cs="Calibri"/>
        </w:rPr>
      </w:pPr>
      <w:r>
        <w:rPr>
          <w:rStyle w:val="normaltextrun"/>
          <w:rFonts w:ascii="Calibri" w:hAnsi="Calibri" w:cs="Calibri"/>
          <w:color w:val="231F20"/>
        </w:rPr>
        <w:t xml:space="preserve">Yielding decision making authority over one’s own life, even “voluntarily,” can have a profound impact on one’s sense of identity, </w:t>
      </w:r>
      <w:proofErr w:type="gramStart"/>
      <w:r>
        <w:rPr>
          <w:rStyle w:val="normaltextrun"/>
          <w:rFonts w:ascii="Calibri" w:hAnsi="Calibri" w:cs="Calibri"/>
          <w:color w:val="231F20"/>
        </w:rPr>
        <w:t>self-worth</w:t>
      </w:r>
      <w:proofErr w:type="gramEnd"/>
      <w:r>
        <w:rPr>
          <w:rStyle w:val="normaltextrun"/>
          <w:rFonts w:ascii="Calibri" w:hAnsi="Calibri" w:cs="Calibri"/>
          <w:color w:val="231F20"/>
        </w:rPr>
        <w:t xml:space="preserve"> and independence. The power of decision is an essential aspect of having control </w:t>
      </w:r>
      <w:r>
        <w:rPr>
          <w:rStyle w:val="normaltextrun"/>
          <w:rFonts w:ascii="Calibri" w:hAnsi="Calibri" w:cs="Calibri"/>
          <w:color w:val="231F20"/>
        </w:rPr>
        <w:lastRenderedPageBreak/>
        <w:t>over one’s life. Even where the decision being made is not necessarily the correct decision, or the best among possible options, there may still be value in being free to make “bad” decisions. Indeed, there is freedom in directing one’s life and there is value in having the opportunity to learn from experience.</w:t>
      </w:r>
      <w:r w:rsidR="00655535">
        <w:rPr>
          <w:rStyle w:val="FootnoteReference"/>
          <w:rFonts w:ascii="Calibri" w:hAnsi="Calibri" w:cs="Calibri"/>
          <w:color w:val="231F20"/>
        </w:rPr>
        <w:footnoteReference w:id="25"/>
      </w:r>
      <w:r>
        <w:rPr>
          <w:rStyle w:val="normaltextrun"/>
          <w:rFonts w:ascii="Calibri" w:hAnsi="Calibri" w:cs="Calibri"/>
        </w:rPr>
        <w:t> </w:t>
      </w:r>
      <w:r>
        <w:rPr>
          <w:rStyle w:val="eop"/>
          <w:rFonts w:ascii="Calibri" w:hAnsi="Calibri" w:cs="Calibri"/>
        </w:rPr>
        <w:t> </w:t>
      </w:r>
    </w:p>
    <w:p w14:paraId="24936D62" w14:textId="46D71648" w:rsidR="00B03D85" w:rsidRDefault="00CB46E1" w:rsidP="0E887DD2">
      <w:pPr>
        <w:pStyle w:val="paragraph"/>
        <w:spacing w:before="0" w:beforeAutospacing="0" w:after="0" w:afterAutospacing="0" w:line="360" w:lineRule="auto"/>
        <w:jc w:val="both"/>
        <w:textAlignment w:val="baseline"/>
        <w:rPr>
          <w:rFonts w:ascii="Segoe UI" w:hAnsi="Segoe UI" w:cs="Segoe UI"/>
          <w:sz w:val="18"/>
          <w:szCs w:val="18"/>
        </w:rPr>
      </w:pPr>
      <w:r w:rsidRPr="0E887DD2">
        <w:rPr>
          <w:rStyle w:val="normaltextrun"/>
          <w:rFonts w:ascii="Calibri" w:hAnsi="Calibri" w:cs="Calibri"/>
        </w:rPr>
        <w:t xml:space="preserve">While clause 67 </w:t>
      </w:r>
      <w:r w:rsidR="008335EF" w:rsidRPr="0E887DD2">
        <w:rPr>
          <w:rStyle w:val="normaltextrun"/>
          <w:rFonts w:ascii="Calibri" w:hAnsi="Calibri" w:cs="Calibri"/>
        </w:rPr>
        <w:t>of the draft Bill</w:t>
      </w:r>
      <w:r w:rsidRPr="0E887DD2">
        <w:rPr>
          <w:rStyle w:val="normaltextrun"/>
          <w:rFonts w:ascii="Calibri" w:hAnsi="Calibri" w:cs="Calibri"/>
        </w:rPr>
        <w:t xml:space="preserve"> does </w:t>
      </w:r>
      <w:r w:rsidR="00347E01" w:rsidRPr="0E887DD2">
        <w:rPr>
          <w:rStyle w:val="normaltextrun"/>
          <w:rFonts w:ascii="Calibri" w:hAnsi="Calibri" w:cs="Calibri"/>
        </w:rPr>
        <w:t xml:space="preserve">empower the appointment of a supported decision maker in most instances, </w:t>
      </w:r>
      <w:r w:rsidR="00682F5E" w:rsidRPr="0E887DD2">
        <w:rPr>
          <w:rStyle w:val="normaltextrun"/>
          <w:rFonts w:ascii="Calibri" w:hAnsi="Calibri" w:cs="Calibri"/>
        </w:rPr>
        <w:t xml:space="preserve">aside from in </w:t>
      </w:r>
      <w:r w:rsidR="00E978F4" w:rsidRPr="0E887DD2">
        <w:rPr>
          <w:rStyle w:val="normaltextrun"/>
          <w:rFonts w:ascii="Calibri" w:hAnsi="Calibri" w:cs="Calibri"/>
        </w:rPr>
        <w:t xml:space="preserve">circumstances </w:t>
      </w:r>
      <w:r w:rsidR="00682F5E" w:rsidRPr="0E887DD2">
        <w:rPr>
          <w:rStyle w:val="normaltextrun"/>
          <w:rFonts w:ascii="Calibri" w:hAnsi="Calibri" w:cs="Calibri"/>
        </w:rPr>
        <w:t xml:space="preserve">where </w:t>
      </w:r>
      <w:r w:rsidR="00EE3EC2" w:rsidRPr="0E887DD2">
        <w:rPr>
          <w:rStyle w:val="normaltextrun"/>
          <w:rFonts w:ascii="Calibri" w:hAnsi="Calibri" w:cs="Calibri"/>
        </w:rPr>
        <w:t xml:space="preserve">this would pose a serious risk to the party or where the party’s will and preferences cannot be ascertained, </w:t>
      </w:r>
      <w:r w:rsidR="000672FB" w:rsidRPr="0E887DD2">
        <w:rPr>
          <w:rStyle w:val="normaltextrun"/>
          <w:rFonts w:ascii="Calibri" w:hAnsi="Calibri" w:cs="Calibri"/>
        </w:rPr>
        <w:t xml:space="preserve">we </w:t>
      </w:r>
      <w:r w:rsidR="00B03D85" w:rsidRPr="0E887DD2">
        <w:rPr>
          <w:rStyle w:val="normaltextrun"/>
          <w:rFonts w:ascii="Calibri" w:hAnsi="Calibri" w:cs="Calibri"/>
        </w:rPr>
        <w:t xml:space="preserve">strongly believe that clause 67 should be amended to </w:t>
      </w:r>
      <w:r w:rsidR="00433A07" w:rsidRPr="0E887DD2">
        <w:rPr>
          <w:rStyle w:val="normaltextrun"/>
          <w:rFonts w:ascii="Calibri" w:hAnsi="Calibri" w:cs="Calibri"/>
        </w:rPr>
        <w:t>insert</w:t>
      </w:r>
      <w:r w:rsidR="00B03D85" w:rsidRPr="0E887DD2">
        <w:rPr>
          <w:rStyle w:val="normaltextrun"/>
          <w:rFonts w:ascii="Calibri" w:hAnsi="Calibri" w:cs="Calibri"/>
        </w:rPr>
        <w:t xml:space="preserve"> general principles regarding supported decision-making</w:t>
      </w:r>
      <w:r w:rsidR="00540C8F" w:rsidRPr="0E887DD2">
        <w:rPr>
          <w:rStyle w:val="normaltextrun"/>
          <w:rFonts w:ascii="Calibri" w:hAnsi="Calibri" w:cs="Calibri"/>
        </w:rPr>
        <w:t>,</w:t>
      </w:r>
      <w:r w:rsidR="00B03D85" w:rsidRPr="0E887DD2">
        <w:rPr>
          <w:rStyle w:val="normaltextrun"/>
          <w:rFonts w:ascii="Calibri" w:hAnsi="Calibri" w:cs="Calibri"/>
        </w:rPr>
        <w:t xml:space="preserve"> which should be consistent with the guidance given by the UN Committee on the Rights of </w:t>
      </w:r>
      <w:r w:rsidR="5E4DE400" w:rsidRPr="0E887DD2">
        <w:rPr>
          <w:rStyle w:val="normaltextrun"/>
          <w:rFonts w:ascii="Calibri" w:hAnsi="Calibri" w:cs="Calibri"/>
        </w:rPr>
        <w:t>People</w:t>
      </w:r>
      <w:r w:rsidR="00B03D85" w:rsidRPr="0E887DD2">
        <w:rPr>
          <w:rStyle w:val="normaltextrun"/>
          <w:rFonts w:ascii="Calibri" w:hAnsi="Calibri" w:cs="Calibri"/>
        </w:rPr>
        <w:t xml:space="preserve"> with Disabilities. This explains that States often conflate the concepts of mental and legal capacity ‘so that where a person is considered to have impaired decision-making skills, often because of a cognitive or psychosocial disability, his or her legal capacity to make a particular decision is consequently removed’.</w:t>
      </w:r>
      <w:r w:rsidR="00B03D85" w:rsidRPr="0E887DD2">
        <w:rPr>
          <w:rStyle w:val="superscript"/>
          <w:rFonts w:ascii="Calibri" w:hAnsi="Calibri" w:cs="Calibri"/>
          <w:vertAlign w:val="superscript"/>
        </w:rPr>
        <w:t>6</w:t>
      </w:r>
      <w:r w:rsidR="00B03D85" w:rsidRPr="0E887DD2">
        <w:rPr>
          <w:rStyle w:val="normaltextrun"/>
          <w:rFonts w:ascii="Calibri" w:hAnsi="Calibri" w:cs="Calibri"/>
        </w:rPr>
        <w:t xml:space="preserve"> The Committee clearly states: </w:t>
      </w:r>
      <w:r w:rsidR="00B03D85" w:rsidRPr="0E887DD2">
        <w:rPr>
          <w:rStyle w:val="eop"/>
          <w:rFonts w:ascii="Calibri" w:hAnsi="Calibri" w:cs="Calibri"/>
        </w:rPr>
        <w:t> </w:t>
      </w:r>
    </w:p>
    <w:p w14:paraId="46D81C26" w14:textId="4C776CCB" w:rsidR="00B03D85" w:rsidRDefault="00B03D85" w:rsidP="0E887DD2">
      <w:pPr>
        <w:pStyle w:val="paragraph"/>
        <w:spacing w:before="0" w:beforeAutospacing="0" w:after="0" w:afterAutospacing="0" w:line="360" w:lineRule="auto"/>
        <w:ind w:left="720" w:right="720"/>
        <w:jc w:val="both"/>
        <w:textAlignment w:val="baseline"/>
        <w:rPr>
          <w:rFonts w:ascii="Segoe UI" w:hAnsi="Segoe UI" w:cs="Segoe UI"/>
          <w:sz w:val="18"/>
          <w:szCs w:val="18"/>
        </w:rPr>
      </w:pPr>
      <w:r w:rsidRPr="0E887DD2">
        <w:rPr>
          <w:rStyle w:val="normaltextrun"/>
          <w:rFonts w:ascii="Calibri" w:hAnsi="Calibri" w:cs="Calibri"/>
        </w:rPr>
        <w:t xml:space="preserve">States parties must refrain from denying </w:t>
      </w:r>
      <w:r w:rsidR="7F0DAC98" w:rsidRPr="0E887DD2">
        <w:rPr>
          <w:rStyle w:val="normaltextrun"/>
          <w:rFonts w:ascii="Calibri" w:hAnsi="Calibri" w:cs="Calibri"/>
        </w:rPr>
        <w:t>People</w:t>
      </w:r>
      <w:r w:rsidRPr="0E887DD2">
        <w:rPr>
          <w:rStyle w:val="normaltextrun"/>
          <w:rFonts w:ascii="Calibri" w:hAnsi="Calibri" w:cs="Calibri"/>
        </w:rPr>
        <w:t xml:space="preserve"> with disabilities their legal capacity and must, rather, provide </w:t>
      </w:r>
      <w:r w:rsidR="7F0DAC98" w:rsidRPr="0E887DD2">
        <w:rPr>
          <w:rStyle w:val="normaltextrun"/>
          <w:rFonts w:ascii="Calibri" w:hAnsi="Calibri" w:cs="Calibri"/>
        </w:rPr>
        <w:t>People</w:t>
      </w:r>
      <w:r w:rsidRPr="0E887DD2">
        <w:rPr>
          <w:rStyle w:val="normaltextrun"/>
          <w:rFonts w:ascii="Calibri" w:hAnsi="Calibri" w:cs="Calibri"/>
        </w:rPr>
        <w:t xml:space="preserve"> with disabilities access to the support necessary to enable them to make decisions that have legal effect. Support in the exercise of legal capacity must respect the rights, will and preferences of </w:t>
      </w:r>
      <w:r w:rsidR="0B5597D2" w:rsidRPr="0E887DD2">
        <w:rPr>
          <w:rStyle w:val="normaltextrun"/>
          <w:rFonts w:ascii="Calibri" w:hAnsi="Calibri" w:cs="Calibri"/>
        </w:rPr>
        <w:t>People</w:t>
      </w:r>
      <w:r w:rsidRPr="0E887DD2">
        <w:rPr>
          <w:rStyle w:val="normaltextrun"/>
          <w:rFonts w:ascii="Calibri" w:hAnsi="Calibri" w:cs="Calibri"/>
        </w:rPr>
        <w:t xml:space="preserve"> with disabilities and should never amount to substitute decision-making.</w:t>
      </w:r>
      <w:r w:rsidRPr="0E887DD2">
        <w:rPr>
          <w:rStyle w:val="superscript"/>
          <w:rFonts w:ascii="Calibri" w:hAnsi="Calibri" w:cs="Calibri"/>
          <w:sz w:val="19"/>
          <w:szCs w:val="19"/>
          <w:vertAlign w:val="superscript"/>
        </w:rPr>
        <w:t>7</w:t>
      </w:r>
      <w:r w:rsidRPr="0E887DD2">
        <w:rPr>
          <w:rStyle w:val="normaltextrun"/>
          <w:rFonts w:ascii="Calibri" w:hAnsi="Calibri" w:cs="Calibri"/>
        </w:rPr>
        <w:t> </w:t>
      </w:r>
      <w:r w:rsidRPr="0E887DD2">
        <w:rPr>
          <w:rStyle w:val="eop"/>
          <w:rFonts w:ascii="Calibri" w:hAnsi="Calibri" w:cs="Calibri"/>
        </w:rPr>
        <w:t> </w:t>
      </w:r>
    </w:p>
    <w:p w14:paraId="6BBCA595" w14:textId="06C173C7" w:rsidR="00B03D85" w:rsidRDefault="00B03D85" w:rsidP="0E887DD2">
      <w:pPr>
        <w:pStyle w:val="paragraph"/>
        <w:spacing w:before="0" w:beforeAutospacing="0" w:after="0" w:afterAutospacing="0" w:line="360" w:lineRule="auto"/>
        <w:jc w:val="both"/>
        <w:textAlignment w:val="baseline"/>
        <w:rPr>
          <w:rFonts w:ascii="Segoe UI" w:hAnsi="Segoe UI" w:cs="Segoe UI"/>
          <w:sz w:val="18"/>
          <w:szCs w:val="18"/>
        </w:rPr>
      </w:pPr>
      <w:r w:rsidRPr="0E887DD2">
        <w:rPr>
          <w:rStyle w:val="normaltextrun"/>
          <w:rFonts w:ascii="Calibri" w:hAnsi="Calibri" w:cs="Calibri"/>
        </w:rPr>
        <w:t>The Committee further explains that ‘States parties’ obligation to replace substitute decision-making regimes by supported decision-making requires both the abolition of substitute decision-making regimes and the development of supported decision-making alternatives.’</w:t>
      </w:r>
      <w:proofErr w:type="gramStart"/>
      <w:r w:rsidRPr="0E887DD2">
        <w:rPr>
          <w:rStyle w:val="superscript"/>
          <w:rFonts w:ascii="Calibri" w:hAnsi="Calibri" w:cs="Calibri"/>
          <w:vertAlign w:val="superscript"/>
        </w:rPr>
        <w:t>8</w:t>
      </w:r>
      <w:proofErr w:type="gramEnd"/>
      <w:r w:rsidRPr="0E887DD2">
        <w:rPr>
          <w:rStyle w:val="normaltextrun"/>
          <w:rFonts w:ascii="Calibri" w:hAnsi="Calibri" w:cs="Calibri"/>
        </w:rPr>
        <w:t> </w:t>
      </w:r>
      <w:r w:rsidRPr="0E887DD2">
        <w:rPr>
          <w:rStyle w:val="eop"/>
          <w:rFonts w:ascii="Calibri" w:hAnsi="Calibri" w:cs="Calibri"/>
        </w:rPr>
        <w:t> </w:t>
      </w:r>
    </w:p>
    <w:p w14:paraId="2D7128E6" w14:textId="763AEA17" w:rsidR="00B03D85" w:rsidRDefault="00B03D85" w:rsidP="0E887DD2">
      <w:pPr>
        <w:pStyle w:val="paragraph"/>
        <w:spacing w:before="0" w:beforeAutospacing="0" w:after="0" w:afterAutospacing="0" w:line="360" w:lineRule="auto"/>
        <w:jc w:val="both"/>
        <w:textAlignment w:val="baseline"/>
        <w:rPr>
          <w:rStyle w:val="normaltextrun"/>
          <w:rFonts w:ascii="Calibri" w:hAnsi="Calibri" w:cs="Calibri"/>
        </w:rPr>
      </w:pPr>
      <w:r w:rsidRPr="0E887DD2">
        <w:rPr>
          <w:rStyle w:val="normaltextrun"/>
          <w:rFonts w:ascii="Calibri" w:hAnsi="Calibri" w:cs="Calibri"/>
        </w:rPr>
        <w:t>Further, in its 2019 report on Australia (‘Concluding observations on the combined second and third periodic reports of Australia’), the Committee expressed concern about the lack of progress made to</w:t>
      </w:r>
      <w:r w:rsidR="004530B0" w:rsidRPr="0E887DD2">
        <w:rPr>
          <w:rStyle w:val="normaltextrun"/>
          <w:rFonts w:ascii="Calibri" w:hAnsi="Calibri" w:cs="Calibri"/>
        </w:rPr>
        <w:t>wards</w:t>
      </w:r>
      <w:r w:rsidR="00EE1B93" w:rsidRPr="0E887DD2">
        <w:rPr>
          <w:rStyle w:val="normaltextrun"/>
          <w:rFonts w:ascii="Calibri" w:hAnsi="Calibri" w:cs="Calibri"/>
        </w:rPr>
        <w:t xml:space="preserve"> the</w:t>
      </w:r>
      <w:r w:rsidRPr="0E887DD2">
        <w:rPr>
          <w:rStyle w:val="normaltextrun"/>
          <w:rFonts w:ascii="Calibri" w:hAnsi="Calibri" w:cs="Calibri"/>
        </w:rPr>
        <w:t xml:space="preserve"> abolish</w:t>
      </w:r>
      <w:r w:rsidR="004530B0" w:rsidRPr="0E887DD2">
        <w:rPr>
          <w:rStyle w:val="normaltextrun"/>
          <w:rFonts w:ascii="Calibri" w:hAnsi="Calibri" w:cs="Calibri"/>
        </w:rPr>
        <w:t xml:space="preserve">ment </w:t>
      </w:r>
      <w:r w:rsidR="009E3C38" w:rsidRPr="0E887DD2">
        <w:rPr>
          <w:rStyle w:val="normaltextrun"/>
          <w:rFonts w:ascii="Calibri" w:hAnsi="Calibri" w:cs="Calibri"/>
        </w:rPr>
        <w:t>of</w:t>
      </w:r>
      <w:r w:rsidRPr="0E887DD2">
        <w:rPr>
          <w:rStyle w:val="normaltextrun"/>
          <w:rFonts w:ascii="Calibri" w:hAnsi="Calibri" w:cs="Calibri"/>
        </w:rPr>
        <w:t xml:space="preserve"> the guardianship system and substitute decision-making regime, recommending the following:</w:t>
      </w:r>
    </w:p>
    <w:p w14:paraId="5EE9F98E" w14:textId="0AFF41F3" w:rsidR="00B03D85" w:rsidRDefault="00B03D85" w:rsidP="0E887DD2">
      <w:pPr>
        <w:pStyle w:val="paragraph"/>
        <w:spacing w:before="0" w:beforeAutospacing="0" w:after="0" w:afterAutospacing="0" w:line="360" w:lineRule="auto"/>
        <w:jc w:val="both"/>
        <w:textAlignment w:val="baseline"/>
        <w:rPr>
          <w:rStyle w:val="normaltextrun"/>
          <w:rFonts w:ascii="Calibri" w:hAnsi="Calibri" w:cs="Calibri"/>
        </w:rPr>
      </w:pPr>
      <w:r w:rsidRPr="0E887DD2">
        <w:rPr>
          <w:rStyle w:val="normaltextrun"/>
          <w:rFonts w:ascii="Calibri" w:hAnsi="Calibri" w:cs="Calibri"/>
        </w:rPr>
        <w:t> </w:t>
      </w:r>
      <w:r>
        <w:tab/>
      </w:r>
      <w:r>
        <w:tab/>
      </w:r>
    </w:p>
    <w:p w14:paraId="2D66DEDA" w14:textId="5AC237E3" w:rsidR="00B03D85" w:rsidRDefault="00B03D85" w:rsidP="0E887DD2">
      <w:pPr>
        <w:pStyle w:val="paragraph"/>
        <w:spacing w:before="0" w:beforeAutospacing="0" w:after="0" w:afterAutospacing="0" w:line="360" w:lineRule="auto"/>
        <w:ind w:left="720" w:firstLine="720"/>
        <w:jc w:val="both"/>
        <w:textAlignment w:val="baseline"/>
        <w:rPr>
          <w:rFonts w:ascii="Segoe UI" w:hAnsi="Segoe UI" w:cs="Segoe UI"/>
          <w:sz w:val="18"/>
          <w:szCs w:val="18"/>
        </w:rPr>
      </w:pPr>
      <w:r w:rsidRPr="0E887DD2">
        <w:rPr>
          <w:rStyle w:val="normaltextrun"/>
          <w:rFonts w:ascii="Calibri" w:hAnsi="Calibri" w:cs="Calibri"/>
        </w:rPr>
        <w:lastRenderedPageBreak/>
        <w:t xml:space="preserve">24. Recalling its general comment No. 1 (2014) on equal recognition before </w:t>
      </w:r>
      <w:r>
        <w:tab/>
      </w:r>
      <w:r w:rsidRPr="0E887DD2">
        <w:rPr>
          <w:rStyle w:val="normaltextrun"/>
          <w:rFonts w:ascii="Calibri" w:hAnsi="Calibri" w:cs="Calibri"/>
        </w:rPr>
        <w:t>the law, the Committee recommends that the State party:   </w:t>
      </w:r>
      <w:r w:rsidRPr="0E887DD2">
        <w:rPr>
          <w:rStyle w:val="eop"/>
          <w:rFonts w:ascii="Calibri" w:hAnsi="Calibri" w:cs="Calibri"/>
        </w:rPr>
        <w:t> </w:t>
      </w:r>
    </w:p>
    <w:p w14:paraId="1BAFCC1C" w14:textId="77777777" w:rsidR="00B03D85" w:rsidRDefault="00B03D85" w:rsidP="0E887DD2">
      <w:pPr>
        <w:pStyle w:val="paragraph"/>
        <w:spacing w:before="0" w:beforeAutospacing="0" w:after="0" w:afterAutospacing="0" w:line="360" w:lineRule="auto"/>
        <w:ind w:left="1440" w:right="720"/>
        <w:jc w:val="both"/>
        <w:textAlignment w:val="baseline"/>
        <w:rPr>
          <w:rStyle w:val="normaltextrun"/>
          <w:rFonts w:ascii="Calibri" w:hAnsi="Calibri" w:cs="Calibri"/>
        </w:rPr>
      </w:pPr>
    </w:p>
    <w:p w14:paraId="5E8018D3" w14:textId="2E6960B5" w:rsidR="00B03D85" w:rsidRDefault="00B03D85" w:rsidP="0E887DD2">
      <w:pPr>
        <w:pStyle w:val="paragraph"/>
        <w:spacing w:before="0" w:beforeAutospacing="0" w:after="0" w:afterAutospacing="0" w:line="360" w:lineRule="auto"/>
        <w:ind w:left="1440" w:right="720"/>
        <w:jc w:val="both"/>
        <w:textAlignment w:val="baseline"/>
        <w:rPr>
          <w:rFonts w:ascii="Segoe UI" w:hAnsi="Segoe UI" w:cs="Segoe UI"/>
          <w:sz w:val="18"/>
          <w:szCs w:val="18"/>
        </w:rPr>
      </w:pPr>
      <w:r w:rsidRPr="0E887DD2">
        <w:rPr>
          <w:rStyle w:val="normaltextrun"/>
          <w:rFonts w:ascii="Calibri" w:hAnsi="Calibri" w:cs="Calibri"/>
        </w:rPr>
        <w:t xml:space="preserve">(a) Repeal any laws and policies and end practices or customs that have the purpose or effect of denying or diminishing the recognition of any person with disabilities as a person before the </w:t>
      </w:r>
      <w:proofErr w:type="gramStart"/>
      <w:r w:rsidRPr="0E887DD2">
        <w:rPr>
          <w:rStyle w:val="normaltextrun"/>
          <w:rFonts w:ascii="Calibri" w:hAnsi="Calibri" w:cs="Calibri"/>
        </w:rPr>
        <w:t>law;</w:t>
      </w:r>
      <w:proofErr w:type="gramEnd"/>
      <w:r w:rsidRPr="0E887DD2">
        <w:rPr>
          <w:rStyle w:val="normaltextrun"/>
          <w:rFonts w:ascii="Calibri" w:hAnsi="Calibri" w:cs="Calibri"/>
        </w:rPr>
        <w:t>  </w:t>
      </w:r>
      <w:r w:rsidRPr="0E887DD2">
        <w:rPr>
          <w:rStyle w:val="eop"/>
          <w:rFonts w:ascii="Calibri" w:hAnsi="Calibri" w:cs="Calibri"/>
        </w:rPr>
        <w:t> </w:t>
      </w:r>
    </w:p>
    <w:p w14:paraId="2A76E62F" w14:textId="77777777" w:rsidR="00B03D85" w:rsidRDefault="00B03D85" w:rsidP="0E887DD2">
      <w:pPr>
        <w:pStyle w:val="paragraph"/>
        <w:spacing w:before="0" w:beforeAutospacing="0" w:after="0" w:afterAutospacing="0" w:line="360" w:lineRule="auto"/>
        <w:ind w:left="1440" w:right="720"/>
        <w:jc w:val="both"/>
        <w:textAlignment w:val="baseline"/>
        <w:rPr>
          <w:rStyle w:val="normaltextrun"/>
          <w:rFonts w:ascii="Calibri" w:hAnsi="Calibri" w:cs="Calibri"/>
        </w:rPr>
      </w:pPr>
    </w:p>
    <w:p w14:paraId="7345495D" w14:textId="4689AB21" w:rsidR="00B03D85" w:rsidRDefault="00B03D85" w:rsidP="0E887DD2">
      <w:pPr>
        <w:pStyle w:val="paragraph"/>
        <w:spacing w:before="0" w:beforeAutospacing="0" w:after="0" w:afterAutospacing="0" w:line="360" w:lineRule="auto"/>
        <w:ind w:left="1440" w:right="720"/>
        <w:jc w:val="both"/>
        <w:textAlignment w:val="baseline"/>
        <w:rPr>
          <w:rFonts w:ascii="Segoe UI" w:hAnsi="Segoe UI" w:cs="Segoe UI"/>
          <w:sz w:val="18"/>
          <w:szCs w:val="18"/>
        </w:rPr>
      </w:pPr>
      <w:r w:rsidRPr="0E887DD2">
        <w:rPr>
          <w:rStyle w:val="normaltextrun"/>
          <w:rFonts w:ascii="Calibri" w:hAnsi="Calibri" w:cs="Calibri"/>
        </w:rPr>
        <w:t>(b) Implement a nationally consistent supported decision-making framework, as recommended in a 2014 report of the Australian Law Reform Commission entitled Equality, Capacity and Disability in Commonwealth Laws. </w:t>
      </w:r>
      <w:r w:rsidRPr="0E887DD2">
        <w:rPr>
          <w:rStyle w:val="eop"/>
          <w:rFonts w:ascii="Calibri" w:hAnsi="Calibri" w:cs="Calibri"/>
        </w:rPr>
        <w:t> </w:t>
      </w:r>
    </w:p>
    <w:p w14:paraId="1347F9A8" w14:textId="19E2739F" w:rsidR="00B03D85" w:rsidRDefault="003301E8" w:rsidP="0E887DD2">
      <w:pPr>
        <w:pStyle w:val="paragraph"/>
        <w:spacing w:before="0" w:beforeAutospacing="0" w:after="0" w:afterAutospacing="0" w:line="360" w:lineRule="auto"/>
        <w:jc w:val="both"/>
        <w:textAlignment w:val="baseline"/>
        <w:rPr>
          <w:rFonts w:ascii="Segoe UI" w:hAnsi="Segoe UI" w:cs="Segoe UI"/>
          <w:sz w:val="18"/>
          <w:szCs w:val="18"/>
        </w:rPr>
      </w:pPr>
      <w:r w:rsidRPr="0E887DD2">
        <w:rPr>
          <w:rStyle w:val="normaltextrun"/>
          <w:rFonts w:ascii="Calibri" w:hAnsi="Calibri" w:cs="Calibri"/>
        </w:rPr>
        <w:t>Given</w:t>
      </w:r>
      <w:r w:rsidR="00B03D85" w:rsidRPr="0E887DD2">
        <w:rPr>
          <w:rStyle w:val="normaltextrun"/>
          <w:rFonts w:ascii="Calibri" w:hAnsi="Calibri" w:cs="Calibri"/>
        </w:rPr>
        <w:t xml:space="preserve"> the above, we recommend the </w:t>
      </w:r>
      <w:r w:rsidR="009D6036" w:rsidRPr="0E887DD2">
        <w:rPr>
          <w:rStyle w:val="normaltextrun"/>
          <w:rFonts w:ascii="Calibri" w:hAnsi="Calibri" w:cs="Calibri"/>
        </w:rPr>
        <w:t>Bill be amended</w:t>
      </w:r>
      <w:r w:rsidR="0046199B" w:rsidRPr="0E887DD2">
        <w:rPr>
          <w:rStyle w:val="normaltextrun"/>
          <w:rFonts w:ascii="Calibri" w:hAnsi="Calibri" w:cs="Calibri"/>
        </w:rPr>
        <w:t xml:space="preserve"> to conform </w:t>
      </w:r>
      <w:r w:rsidR="00B03D85" w:rsidRPr="0E887DD2">
        <w:rPr>
          <w:rStyle w:val="normaltextrun"/>
          <w:rFonts w:ascii="Calibri" w:hAnsi="Calibri" w:cs="Calibri"/>
        </w:rPr>
        <w:t>with the UNCRPD, the National Decision-Making Principles, associated guidelines developed by the Australian Law Reform Commission, and national and international best practice. </w:t>
      </w:r>
      <w:r w:rsidR="00B03D85" w:rsidRPr="0E887DD2">
        <w:rPr>
          <w:rStyle w:val="eop"/>
          <w:rFonts w:ascii="Calibri" w:hAnsi="Calibri" w:cs="Calibri"/>
        </w:rPr>
        <w:t> </w:t>
      </w:r>
    </w:p>
    <w:p w14:paraId="124F6137" w14:textId="0EE44D9D" w:rsidR="00E5523F" w:rsidRPr="00162FF8" w:rsidRDefault="008B45DE" w:rsidP="0E887DD2">
      <w:pPr>
        <w:spacing w:line="360" w:lineRule="auto"/>
        <w:rPr>
          <w:rStyle w:val="normaltextrun"/>
          <w:b/>
          <w:bCs/>
          <w:sz w:val="24"/>
          <w:szCs w:val="24"/>
        </w:rPr>
      </w:pPr>
      <w:r w:rsidRPr="00162FF8">
        <w:rPr>
          <w:rStyle w:val="normaltextrun"/>
          <w:b/>
          <w:bCs/>
          <w:color w:val="522E91"/>
          <w:sz w:val="24"/>
          <w:szCs w:val="24"/>
        </w:rPr>
        <w:t xml:space="preserve">Recommendation </w:t>
      </w:r>
      <w:r w:rsidR="00D53B59">
        <w:rPr>
          <w:rStyle w:val="normaltextrun"/>
          <w:b/>
          <w:bCs/>
          <w:color w:val="522E91"/>
          <w:sz w:val="24"/>
          <w:szCs w:val="24"/>
        </w:rPr>
        <w:t>10</w:t>
      </w:r>
      <w:r w:rsidRPr="00162FF8">
        <w:rPr>
          <w:rStyle w:val="normaltextrun"/>
          <w:b/>
          <w:bCs/>
          <w:color w:val="522E91"/>
          <w:sz w:val="24"/>
          <w:szCs w:val="24"/>
        </w:rPr>
        <w:t>:</w:t>
      </w:r>
      <w:r w:rsidRPr="00162FF8">
        <w:rPr>
          <w:rStyle w:val="normaltextrun"/>
          <w:b/>
          <w:bCs/>
          <w:color w:val="7030A0"/>
          <w:sz w:val="24"/>
          <w:szCs w:val="24"/>
        </w:rPr>
        <w:t> </w:t>
      </w:r>
      <w:r w:rsidRPr="00162FF8">
        <w:rPr>
          <w:rStyle w:val="normaltextrun"/>
          <w:b/>
          <w:bCs/>
          <w:sz w:val="24"/>
          <w:szCs w:val="24"/>
        </w:rPr>
        <w:t xml:space="preserve">The Committee </w:t>
      </w:r>
      <w:r w:rsidR="00F35284" w:rsidRPr="00162FF8">
        <w:rPr>
          <w:rStyle w:val="normaltextrun"/>
          <w:b/>
          <w:bCs/>
          <w:sz w:val="24"/>
          <w:szCs w:val="24"/>
        </w:rPr>
        <w:t xml:space="preserve">should </w:t>
      </w:r>
      <w:r w:rsidRPr="00162FF8">
        <w:rPr>
          <w:rStyle w:val="normaltextrun"/>
          <w:b/>
          <w:bCs/>
          <w:sz w:val="24"/>
          <w:szCs w:val="24"/>
        </w:rPr>
        <w:t>recommend clause 6</w:t>
      </w:r>
      <w:r w:rsidR="00902F45" w:rsidRPr="00162FF8">
        <w:rPr>
          <w:rStyle w:val="normaltextrun"/>
          <w:b/>
          <w:bCs/>
          <w:sz w:val="24"/>
          <w:szCs w:val="24"/>
        </w:rPr>
        <w:t>7</w:t>
      </w:r>
      <w:r w:rsidRPr="00162FF8">
        <w:rPr>
          <w:rStyle w:val="normaltextrun"/>
          <w:b/>
          <w:bCs/>
          <w:sz w:val="24"/>
          <w:szCs w:val="24"/>
        </w:rPr>
        <w:t xml:space="preserve"> of the Administrative Review Tribunal Bill 2023 </w:t>
      </w:r>
      <w:r w:rsidR="00297BA0" w:rsidRPr="00162FF8">
        <w:rPr>
          <w:rStyle w:val="normaltextrun"/>
          <w:b/>
          <w:bCs/>
          <w:sz w:val="24"/>
          <w:szCs w:val="24"/>
        </w:rPr>
        <w:t xml:space="preserve">incorporate </w:t>
      </w:r>
      <w:r w:rsidR="007F2DF3" w:rsidRPr="00162FF8">
        <w:rPr>
          <w:rStyle w:val="normaltextrun"/>
          <w:b/>
          <w:bCs/>
          <w:sz w:val="24"/>
          <w:szCs w:val="24"/>
        </w:rPr>
        <w:t>supported decision</w:t>
      </w:r>
      <w:r w:rsidR="00032E91" w:rsidRPr="00162FF8">
        <w:rPr>
          <w:rStyle w:val="normaltextrun"/>
          <w:b/>
          <w:bCs/>
          <w:sz w:val="24"/>
          <w:szCs w:val="24"/>
        </w:rPr>
        <w:t>-</w:t>
      </w:r>
      <w:r w:rsidR="007F2DF3" w:rsidRPr="00162FF8">
        <w:rPr>
          <w:rStyle w:val="normaltextrun"/>
          <w:b/>
          <w:bCs/>
          <w:sz w:val="24"/>
          <w:szCs w:val="24"/>
        </w:rPr>
        <w:t xml:space="preserve">making principles </w:t>
      </w:r>
      <w:r w:rsidR="00D8753E" w:rsidRPr="00162FF8">
        <w:rPr>
          <w:rStyle w:val="normaltextrun"/>
          <w:b/>
          <w:bCs/>
          <w:sz w:val="24"/>
          <w:szCs w:val="24"/>
        </w:rPr>
        <w:t>that</w:t>
      </w:r>
      <w:r w:rsidR="007F2DF3" w:rsidRPr="00162FF8">
        <w:rPr>
          <w:rStyle w:val="normaltextrun"/>
          <w:b/>
          <w:bCs/>
          <w:sz w:val="24"/>
          <w:szCs w:val="24"/>
        </w:rPr>
        <w:t xml:space="preserve"> conform with</w:t>
      </w:r>
      <w:r w:rsidR="005F64E0" w:rsidRPr="00162FF8">
        <w:rPr>
          <w:rStyle w:val="normaltextrun"/>
          <w:b/>
          <w:bCs/>
          <w:sz w:val="24"/>
          <w:szCs w:val="24"/>
        </w:rPr>
        <w:t xml:space="preserve"> article 12 of the UNCRPD</w:t>
      </w:r>
      <w:r w:rsidR="0020206E" w:rsidRPr="00162FF8">
        <w:rPr>
          <w:rStyle w:val="normaltextrun"/>
          <w:b/>
          <w:bCs/>
          <w:sz w:val="24"/>
          <w:szCs w:val="24"/>
        </w:rPr>
        <w:t xml:space="preserve">, the National Decision-Making </w:t>
      </w:r>
      <w:r w:rsidR="00032E91" w:rsidRPr="00162FF8">
        <w:rPr>
          <w:rStyle w:val="normaltextrun"/>
          <w:b/>
          <w:bCs/>
          <w:sz w:val="24"/>
          <w:szCs w:val="24"/>
        </w:rPr>
        <w:t>Principles, Australian Law Reform Commission guidelines, national and international best practice, and the recommendations of the DRC</w:t>
      </w:r>
      <w:r w:rsidRPr="00162FF8">
        <w:rPr>
          <w:rStyle w:val="normaltextrun"/>
          <w:b/>
          <w:bCs/>
          <w:sz w:val="24"/>
          <w:szCs w:val="24"/>
        </w:rPr>
        <w:t>.</w:t>
      </w:r>
    </w:p>
    <w:p w14:paraId="749EBA5B" w14:textId="658C57F1" w:rsidR="001C58B1" w:rsidRPr="00B47553" w:rsidRDefault="000E437B" w:rsidP="0E887DD2">
      <w:pPr>
        <w:spacing w:line="360" w:lineRule="auto"/>
        <w:rPr>
          <w:rStyle w:val="normaltextrun"/>
          <w:rFonts w:ascii="Calibri" w:hAnsi="Calibri" w:cs="Calibri"/>
          <w:color w:val="7030A0"/>
          <w:sz w:val="26"/>
          <w:szCs w:val="26"/>
        </w:rPr>
      </w:pPr>
      <w:r>
        <w:rPr>
          <w:rStyle w:val="normaltextrun"/>
          <w:rFonts w:ascii="Calibri" w:hAnsi="Calibri" w:cs="Calibri"/>
          <w:color w:val="7030A0"/>
          <w:sz w:val="26"/>
          <w:szCs w:val="26"/>
        </w:rPr>
        <w:t>7</w:t>
      </w:r>
      <w:r w:rsidR="00162FF8">
        <w:rPr>
          <w:rStyle w:val="normaltextrun"/>
          <w:rFonts w:ascii="Calibri" w:hAnsi="Calibri" w:cs="Calibri"/>
          <w:color w:val="7030A0"/>
          <w:sz w:val="26"/>
          <w:szCs w:val="26"/>
        </w:rPr>
        <w:t>.</w:t>
      </w:r>
      <w:r>
        <w:rPr>
          <w:rStyle w:val="normaltextrun"/>
          <w:rFonts w:ascii="Calibri" w:hAnsi="Calibri" w:cs="Calibri"/>
          <w:color w:val="7030A0"/>
          <w:sz w:val="26"/>
          <w:szCs w:val="26"/>
        </w:rPr>
        <w:t xml:space="preserve">3 </w:t>
      </w:r>
      <w:r w:rsidR="00EC2DEF" w:rsidRPr="0E887DD2">
        <w:rPr>
          <w:rStyle w:val="normaltextrun"/>
          <w:rFonts w:ascii="Calibri" w:hAnsi="Calibri" w:cs="Calibri"/>
          <w:color w:val="7030A0"/>
          <w:sz w:val="26"/>
          <w:szCs w:val="26"/>
        </w:rPr>
        <w:t xml:space="preserve">Renaming Litigation Guardian to Litigation Supporter </w:t>
      </w:r>
    </w:p>
    <w:p w14:paraId="0C95C608" w14:textId="334E1D2F" w:rsidR="00F7225C" w:rsidRDefault="00EC2DEF" w:rsidP="4EA5BC0B">
      <w:pPr>
        <w:pStyle w:val="paragraph"/>
        <w:spacing w:before="0" w:beforeAutospacing="0" w:after="0" w:afterAutospacing="0" w:line="360" w:lineRule="auto"/>
        <w:jc w:val="both"/>
        <w:textAlignment w:val="baseline"/>
        <w:rPr>
          <w:rStyle w:val="eop"/>
          <w:rFonts w:ascii="Calibri" w:hAnsi="Calibri" w:cs="Calibri"/>
        </w:rPr>
      </w:pPr>
      <w:r w:rsidRPr="4EA5BC0B">
        <w:rPr>
          <w:rStyle w:val="normaltextrun"/>
          <w:rFonts w:ascii="Calibri" w:hAnsi="Calibri" w:cs="Calibri"/>
        </w:rPr>
        <w:t xml:space="preserve">While, mostly, litigation guardians as defined in the Bill </w:t>
      </w:r>
      <w:r w:rsidR="001A7F3B" w:rsidRPr="4EA5BC0B">
        <w:rPr>
          <w:rStyle w:val="normaltextrun"/>
          <w:rFonts w:ascii="Calibri" w:hAnsi="Calibri" w:cs="Calibri"/>
        </w:rPr>
        <w:t>utilise supported decision-making approaches</w:t>
      </w:r>
      <w:r w:rsidRPr="4EA5BC0B">
        <w:rPr>
          <w:rStyle w:val="normaltextrun"/>
          <w:rFonts w:ascii="Calibri" w:hAnsi="Calibri" w:cs="Calibri"/>
        </w:rPr>
        <w:t xml:space="preserve">, they retain the </w:t>
      </w:r>
      <w:r w:rsidR="009F1EAA" w:rsidRPr="4EA5BC0B">
        <w:rPr>
          <w:rStyle w:val="normaltextrun"/>
          <w:rFonts w:ascii="Calibri" w:hAnsi="Calibri" w:cs="Calibri"/>
        </w:rPr>
        <w:t>moniker of substitute decision makers: guardians. Words matter</w:t>
      </w:r>
      <w:r w:rsidR="00033640" w:rsidRPr="4EA5BC0B">
        <w:rPr>
          <w:rStyle w:val="normaltextrun"/>
          <w:rFonts w:ascii="Calibri" w:hAnsi="Calibri" w:cs="Calibri"/>
        </w:rPr>
        <w:t>, which is</w:t>
      </w:r>
      <w:r w:rsidR="00E70A2A" w:rsidRPr="4EA5BC0B">
        <w:rPr>
          <w:rStyle w:val="normaltextrun"/>
          <w:rFonts w:ascii="Calibri" w:hAnsi="Calibri" w:cs="Calibri"/>
        </w:rPr>
        <w:t xml:space="preserve"> one reason</w:t>
      </w:r>
      <w:r w:rsidR="00033640" w:rsidRPr="4EA5BC0B">
        <w:rPr>
          <w:rStyle w:val="normaltextrun"/>
          <w:rFonts w:ascii="Calibri" w:hAnsi="Calibri" w:cs="Calibri"/>
        </w:rPr>
        <w:t xml:space="preserve"> why </w:t>
      </w:r>
      <w:r w:rsidR="00E70A2A" w:rsidRPr="4EA5BC0B">
        <w:rPr>
          <w:rStyle w:val="normaltextrun"/>
          <w:rFonts w:ascii="Calibri" w:hAnsi="Calibri" w:cs="Calibri"/>
        </w:rPr>
        <w:t xml:space="preserve">the DRC recommended renaming guardians and administrators </w:t>
      </w:r>
      <w:r w:rsidR="001A7F3B" w:rsidRPr="4EA5BC0B">
        <w:rPr>
          <w:rStyle w:val="normaltextrun"/>
          <w:rFonts w:ascii="Calibri" w:hAnsi="Calibri" w:cs="Calibri"/>
        </w:rPr>
        <w:t xml:space="preserve">as </w:t>
      </w:r>
      <w:r w:rsidR="00E70A2A" w:rsidRPr="4EA5BC0B">
        <w:rPr>
          <w:rStyle w:val="normaltextrun"/>
          <w:rFonts w:ascii="Calibri" w:hAnsi="Calibri" w:cs="Calibri"/>
        </w:rPr>
        <w:t xml:space="preserve">formal supporters. </w:t>
      </w:r>
    </w:p>
    <w:p w14:paraId="18134871" w14:textId="77777777" w:rsidR="00F7225C" w:rsidRDefault="00F7225C" w:rsidP="0E887DD2">
      <w:pPr>
        <w:pStyle w:val="paragraph"/>
        <w:spacing w:before="0" w:beforeAutospacing="0" w:after="0" w:afterAutospacing="0" w:line="360" w:lineRule="auto"/>
        <w:jc w:val="both"/>
        <w:textAlignment w:val="baseline"/>
        <w:rPr>
          <w:rFonts w:ascii="Segoe UI" w:hAnsi="Segoe UI" w:cs="Segoe UI"/>
          <w:sz w:val="18"/>
          <w:szCs w:val="18"/>
        </w:rPr>
      </w:pPr>
    </w:p>
    <w:p w14:paraId="68DADC3F" w14:textId="77777777" w:rsidR="00F7225C" w:rsidRDefault="00F7225C" w:rsidP="0E887DD2">
      <w:pPr>
        <w:pStyle w:val="paragraph"/>
        <w:spacing w:before="0" w:beforeAutospacing="0" w:after="0" w:afterAutospacing="0" w:line="360" w:lineRule="auto"/>
        <w:ind w:right="720" w:firstLine="720"/>
        <w:textAlignment w:val="baseline"/>
        <w:rPr>
          <w:rStyle w:val="eop"/>
          <w:rFonts w:ascii="Calibri" w:hAnsi="Calibri" w:cs="Calibri"/>
          <w:color w:val="000000"/>
        </w:rPr>
      </w:pPr>
      <w:r w:rsidRPr="0E887DD2">
        <w:rPr>
          <w:rStyle w:val="normaltextrun"/>
          <w:rFonts w:ascii="Calibri" w:hAnsi="Calibri" w:cs="Calibri"/>
          <w:color w:val="000000" w:themeColor="text1"/>
        </w:rPr>
        <w:t>Recommendation 6.8 Formal supporters </w:t>
      </w:r>
      <w:r w:rsidRPr="0E887DD2">
        <w:rPr>
          <w:rStyle w:val="eop"/>
          <w:rFonts w:ascii="Calibri" w:hAnsi="Calibri" w:cs="Calibri"/>
          <w:color w:val="000000" w:themeColor="text1"/>
        </w:rPr>
        <w:t> </w:t>
      </w:r>
    </w:p>
    <w:p w14:paraId="20A62AEA" w14:textId="77777777" w:rsidR="00933820" w:rsidRDefault="00933820" w:rsidP="0E887DD2">
      <w:pPr>
        <w:pStyle w:val="paragraph"/>
        <w:spacing w:before="0" w:beforeAutospacing="0" w:after="0" w:afterAutospacing="0" w:line="360" w:lineRule="auto"/>
        <w:ind w:right="720" w:firstLine="720"/>
        <w:textAlignment w:val="baseline"/>
        <w:rPr>
          <w:rFonts w:ascii="Segoe UI" w:hAnsi="Segoe UI" w:cs="Segoe UI"/>
          <w:color w:val="000000"/>
          <w:sz w:val="18"/>
          <w:szCs w:val="18"/>
        </w:rPr>
      </w:pPr>
    </w:p>
    <w:p w14:paraId="2F4057B2" w14:textId="77777777" w:rsidR="00F7225C" w:rsidRDefault="00F7225C" w:rsidP="0E887DD2">
      <w:pPr>
        <w:pStyle w:val="paragraph"/>
        <w:spacing w:before="0" w:beforeAutospacing="0" w:after="0" w:afterAutospacing="0" w:line="360" w:lineRule="auto"/>
        <w:ind w:left="720" w:right="720"/>
        <w:textAlignment w:val="baseline"/>
        <w:rPr>
          <w:rFonts w:ascii="Segoe UI" w:hAnsi="Segoe UI" w:cs="Segoe UI"/>
          <w:color w:val="000000"/>
          <w:sz w:val="18"/>
          <w:szCs w:val="18"/>
        </w:rPr>
      </w:pPr>
      <w:r w:rsidRPr="0E887DD2">
        <w:rPr>
          <w:rStyle w:val="normaltextrun"/>
          <w:rFonts w:ascii="Calibri" w:hAnsi="Calibri" w:cs="Calibri"/>
          <w:color w:val="000000" w:themeColor="text1"/>
        </w:rPr>
        <w:t xml:space="preserve">States and territories should introduce into guardianship and administration legislation provisions to enable statutory and personal appointments of one or more supporters for personal and financial matters, following the approach taken by Victoria in Part 4 of the </w:t>
      </w:r>
      <w:r w:rsidRPr="0E887DD2">
        <w:rPr>
          <w:rStyle w:val="normaltextrun"/>
          <w:rFonts w:ascii="Calibri" w:hAnsi="Calibri" w:cs="Calibri"/>
          <w:i/>
          <w:iCs/>
          <w:color w:val="000000" w:themeColor="text1"/>
        </w:rPr>
        <w:t xml:space="preserve">Guardianship and Administration </w:t>
      </w:r>
      <w:r w:rsidRPr="0E887DD2">
        <w:rPr>
          <w:rStyle w:val="normaltextrun"/>
          <w:rFonts w:ascii="Calibri" w:hAnsi="Calibri" w:cs="Calibri"/>
          <w:i/>
          <w:iCs/>
          <w:color w:val="000000" w:themeColor="text1"/>
        </w:rPr>
        <w:lastRenderedPageBreak/>
        <w:t xml:space="preserve">Act 2019 </w:t>
      </w:r>
      <w:r w:rsidRPr="0E887DD2">
        <w:rPr>
          <w:rStyle w:val="normaltextrun"/>
          <w:rFonts w:ascii="Calibri" w:hAnsi="Calibri" w:cs="Calibri"/>
          <w:color w:val="000000" w:themeColor="text1"/>
        </w:rPr>
        <w:t xml:space="preserve">(Vic) and Part 7 of the </w:t>
      </w:r>
      <w:r w:rsidRPr="0E887DD2">
        <w:rPr>
          <w:rStyle w:val="normaltextrun"/>
          <w:rFonts w:ascii="Calibri" w:hAnsi="Calibri" w:cs="Calibri"/>
          <w:i/>
          <w:iCs/>
          <w:color w:val="000000" w:themeColor="text1"/>
        </w:rPr>
        <w:t xml:space="preserve">Powers of Attorney Act 2014 </w:t>
      </w:r>
      <w:r w:rsidRPr="0E887DD2">
        <w:rPr>
          <w:rStyle w:val="normaltextrun"/>
          <w:rFonts w:ascii="Calibri" w:hAnsi="Calibri" w:cs="Calibri"/>
          <w:color w:val="000000" w:themeColor="text1"/>
        </w:rPr>
        <w:t>(Vic). This includes provisions on:</w:t>
      </w:r>
      <w:r w:rsidRPr="0E887DD2">
        <w:rPr>
          <w:rStyle w:val="eop"/>
          <w:rFonts w:ascii="Calibri" w:hAnsi="Calibri" w:cs="Calibri"/>
          <w:color w:val="000000" w:themeColor="text1"/>
        </w:rPr>
        <w:t> </w:t>
      </w:r>
    </w:p>
    <w:p w14:paraId="52711657" w14:textId="77777777" w:rsidR="00F7225C" w:rsidRDefault="00F7225C" w:rsidP="0E887DD2">
      <w:pPr>
        <w:pStyle w:val="paragraph"/>
        <w:numPr>
          <w:ilvl w:val="0"/>
          <w:numId w:val="2"/>
        </w:numPr>
        <w:spacing w:before="0" w:beforeAutospacing="0" w:after="0" w:afterAutospacing="0" w:line="360" w:lineRule="auto"/>
        <w:ind w:left="1800" w:firstLine="0"/>
        <w:textAlignment w:val="baseline"/>
        <w:rPr>
          <w:rFonts w:ascii="Calibri" w:hAnsi="Calibri" w:cs="Calibri"/>
          <w:color w:val="000000"/>
        </w:rPr>
      </w:pPr>
      <w:r w:rsidRPr="0E887DD2">
        <w:rPr>
          <w:rStyle w:val="normaltextrun"/>
          <w:rFonts w:ascii="Calibri" w:hAnsi="Calibri" w:cs="Calibri"/>
          <w:color w:val="000000" w:themeColor="text1"/>
        </w:rPr>
        <w:t>appointment of supporters  </w:t>
      </w:r>
      <w:r w:rsidRPr="0E887DD2">
        <w:rPr>
          <w:rStyle w:val="eop"/>
          <w:rFonts w:ascii="Calibri" w:hAnsi="Calibri" w:cs="Calibri"/>
          <w:color w:val="000000" w:themeColor="text1"/>
        </w:rPr>
        <w:t> </w:t>
      </w:r>
    </w:p>
    <w:p w14:paraId="5772D6CE" w14:textId="77777777" w:rsidR="00F7225C" w:rsidRDefault="00F7225C" w:rsidP="0E887DD2">
      <w:pPr>
        <w:pStyle w:val="paragraph"/>
        <w:numPr>
          <w:ilvl w:val="0"/>
          <w:numId w:val="2"/>
        </w:numPr>
        <w:spacing w:before="0" w:beforeAutospacing="0" w:after="0" w:afterAutospacing="0" w:line="360" w:lineRule="auto"/>
        <w:ind w:left="1800" w:firstLine="0"/>
        <w:textAlignment w:val="baseline"/>
        <w:rPr>
          <w:rFonts w:ascii="Calibri" w:hAnsi="Calibri" w:cs="Calibri"/>
          <w:color w:val="000000"/>
        </w:rPr>
      </w:pPr>
      <w:r w:rsidRPr="0E887DD2">
        <w:rPr>
          <w:rStyle w:val="normaltextrun"/>
          <w:rFonts w:ascii="Calibri" w:hAnsi="Calibri" w:cs="Calibri"/>
          <w:color w:val="000000" w:themeColor="text1"/>
        </w:rPr>
        <w:t xml:space="preserve">role, </w:t>
      </w:r>
      <w:proofErr w:type="gramStart"/>
      <w:r w:rsidRPr="0E887DD2">
        <w:rPr>
          <w:rStyle w:val="normaltextrun"/>
          <w:rFonts w:ascii="Calibri" w:hAnsi="Calibri" w:cs="Calibri"/>
          <w:color w:val="000000" w:themeColor="text1"/>
        </w:rPr>
        <w:t>powers</w:t>
      </w:r>
      <w:proofErr w:type="gramEnd"/>
      <w:r w:rsidRPr="0E887DD2">
        <w:rPr>
          <w:rStyle w:val="normaltextrun"/>
          <w:rFonts w:ascii="Calibri" w:hAnsi="Calibri" w:cs="Calibri"/>
          <w:color w:val="000000" w:themeColor="text1"/>
        </w:rPr>
        <w:t xml:space="preserve"> and duties of supporters</w:t>
      </w:r>
      <w:r>
        <w:tab/>
      </w:r>
      <w:r w:rsidRPr="0E887DD2">
        <w:rPr>
          <w:rStyle w:val="normaltextrun"/>
          <w:rFonts w:ascii="Calibri" w:hAnsi="Calibri" w:cs="Calibri"/>
          <w:color w:val="000000" w:themeColor="text1"/>
        </w:rPr>
        <w:t> </w:t>
      </w:r>
      <w:r w:rsidRPr="0E887DD2">
        <w:rPr>
          <w:rStyle w:val="eop"/>
          <w:rFonts w:ascii="Calibri" w:hAnsi="Calibri" w:cs="Calibri"/>
          <w:color w:val="000000" w:themeColor="text1"/>
        </w:rPr>
        <w:t> </w:t>
      </w:r>
    </w:p>
    <w:p w14:paraId="6BA77673" w14:textId="77777777" w:rsidR="00F7225C" w:rsidRDefault="00F7225C" w:rsidP="0E887DD2">
      <w:pPr>
        <w:pStyle w:val="paragraph"/>
        <w:numPr>
          <w:ilvl w:val="0"/>
          <w:numId w:val="2"/>
        </w:numPr>
        <w:spacing w:before="0" w:beforeAutospacing="0" w:after="0" w:afterAutospacing="0" w:line="360" w:lineRule="auto"/>
        <w:ind w:left="1800" w:firstLine="0"/>
        <w:textAlignment w:val="baseline"/>
        <w:rPr>
          <w:rFonts w:ascii="Calibri" w:hAnsi="Calibri" w:cs="Calibri"/>
          <w:color w:val="000000"/>
        </w:rPr>
      </w:pPr>
      <w:r w:rsidRPr="0E887DD2">
        <w:rPr>
          <w:rStyle w:val="normaltextrun"/>
          <w:rFonts w:ascii="Calibri" w:hAnsi="Calibri" w:cs="Calibri"/>
          <w:color w:val="000000" w:themeColor="text1"/>
        </w:rPr>
        <w:t xml:space="preserve">safeguards in relation to </w:t>
      </w:r>
      <w:proofErr w:type="gramStart"/>
      <w:r w:rsidRPr="0E887DD2">
        <w:rPr>
          <w:rStyle w:val="normaltextrun"/>
          <w:rFonts w:ascii="Calibri" w:hAnsi="Calibri" w:cs="Calibri"/>
          <w:color w:val="000000" w:themeColor="text1"/>
        </w:rPr>
        <w:t>supports</w:t>
      </w:r>
      <w:proofErr w:type="gramEnd"/>
      <w:r w:rsidRPr="0E887DD2">
        <w:rPr>
          <w:rStyle w:val="normaltextrun"/>
          <w:rFonts w:ascii="Calibri" w:hAnsi="Calibri" w:cs="Calibri"/>
          <w:color w:val="000000" w:themeColor="text1"/>
        </w:rPr>
        <w:t> </w:t>
      </w:r>
      <w:r w:rsidRPr="0E887DD2">
        <w:rPr>
          <w:rStyle w:val="eop"/>
          <w:rFonts w:ascii="Calibri" w:hAnsi="Calibri" w:cs="Calibri"/>
          <w:color w:val="000000" w:themeColor="text1"/>
        </w:rPr>
        <w:t> </w:t>
      </w:r>
    </w:p>
    <w:p w14:paraId="1277FCE9" w14:textId="77777777" w:rsidR="00F7225C" w:rsidRDefault="00F7225C" w:rsidP="0E887DD2">
      <w:pPr>
        <w:pStyle w:val="paragraph"/>
        <w:numPr>
          <w:ilvl w:val="0"/>
          <w:numId w:val="2"/>
        </w:numPr>
        <w:spacing w:before="0" w:beforeAutospacing="0" w:after="0" w:afterAutospacing="0" w:line="360" w:lineRule="auto"/>
        <w:ind w:left="1800" w:firstLine="0"/>
        <w:textAlignment w:val="baseline"/>
        <w:rPr>
          <w:rStyle w:val="normaltextrun"/>
          <w:rFonts w:ascii="Calibri" w:hAnsi="Calibri" w:cs="Calibri"/>
          <w:color w:val="000000"/>
        </w:rPr>
      </w:pPr>
      <w:r w:rsidRPr="0E887DD2">
        <w:rPr>
          <w:rStyle w:val="normaltextrun"/>
          <w:rFonts w:ascii="Calibri" w:hAnsi="Calibri" w:cs="Calibri"/>
          <w:color w:val="000000" w:themeColor="text1"/>
        </w:rPr>
        <w:t>review and revocation of support agreements and orders. </w:t>
      </w:r>
    </w:p>
    <w:p w14:paraId="1F27FB17" w14:textId="77777777" w:rsidR="00196ABB" w:rsidRPr="000E437B" w:rsidRDefault="00196ABB" w:rsidP="0E887DD2">
      <w:pPr>
        <w:pStyle w:val="paragraph"/>
        <w:spacing w:before="0" w:beforeAutospacing="0" w:after="0" w:afterAutospacing="0" w:line="360" w:lineRule="auto"/>
        <w:ind w:left="1800"/>
        <w:textAlignment w:val="baseline"/>
        <w:rPr>
          <w:rFonts w:ascii="Calibri" w:hAnsi="Calibri" w:cs="Calibri"/>
          <w:color w:val="000000"/>
        </w:rPr>
      </w:pPr>
    </w:p>
    <w:p w14:paraId="50CBF657" w14:textId="34A56777" w:rsidR="00196ABB" w:rsidRPr="000E437B" w:rsidRDefault="00196ABB" w:rsidP="0E887DD2">
      <w:pPr>
        <w:spacing w:line="360" w:lineRule="auto"/>
        <w:rPr>
          <w:rStyle w:val="normaltextrun"/>
          <w:b/>
          <w:bCs/>
          <w:sz w:val="24"/>
          <w:szCs w:val="24"/>
        </w:rPr>
      </w:pPr>
      <w:r w:rsidRPr="000E437B">
        <w:rPr>
          <w:rStyle w:val="normaltextrun"/>
          <w:b/>
          <w:bCs/>
          <w:color w:val="522E91"/>
          <w:sz w:val="24"/>
          <w:szCs w:val="24"/>
        </w:rPr>
        <w:t xml:space="preserve">Recommendation </w:t>
      </w:r>
      <w:r w:rsidR="001B7EC9" w:rsidRPr="000E437B">
        <w:rPr>
          <w:rStyle w:val="normaltextrun"/>
          <w:b/>
          <w:bCs/>
          <w:color w:val="522E91"/>
          <w:sz w:val="24"/>
          <w:szCs w:val="24"/>
        </w:rPr>
        <w:t>1</w:t>
      </w:r>
      <w:r w:rsidR="00C94910">
        <w:rPr>
          <w:rStyle w:val="normaltextrun"/>
          <w:b/>
          <w:bCs/>
          <w:color w:val="522E91"/>
          <w:sz w:val="24"/>
          <w:szCs w:val="24"/>
        </w:rPr>
        <w:t>1</w:t>
      </w:r>
      <w:r w:rsidRPr="000E437B">
        <w:rPr>
          <w:rStyle w:val="normaltextrun"/>
          <w:b/>
          <w:bCs/>
          <w:color w:val="522E91"/>
          <w:sz w:val="24"/>
          <w:szCs w:val="24"/>
        </w:rPr>
        <w:t>:</w:t>
      </w:r>
      <w:r w:rsidRPr="000E437B">
        <w:rPr>
          <w:rStyle w:val="normaltextrun"/>
          <w:b/>
          <w:bCs/>
          <w:color w:val="7030A0"/>
          <w:sz w:val="24"/>
          <w:szCs w:val="24"/>
        </w:rPr>
        <w:t> </w:t>
      </w:r>
      <w:r w:rsidRPr="000E437B">
        <w:rPr>
          <w:rStyle w:val="normaltextrun"/>
          <w:b/>
          <w:bCs/>
          <w:sz w:val="24"/>
          <w:szCs w:val="24"/>
        </w:rPr>
        <w:t xml:space="preserve">The Committee </w:t>
      </w:r>
      <w:r w:rsidR="00904487" w:rsidRPr="000E437B">
        <w:rPr>
          <w:rStyle w:val="normaltextrun"/>
          <w:b/>
          <w:bCs/>
          <w:sz w:val="24"/>
          <w:szCs w:val="24"/>
        </w:rPr>
        <w:t xml:space="preserve">should </w:t>
      </w:r>
      <w:r w:rsidRPr="000E437B">
        <w:rPr>
          <w:rStyle w:val="normaltextrun"/>
          <w:b/>
          <w:bCs/>
          <w:sz w:val="24"/>
          <w:szCs w:val="24"/>
        </w:rPr>
        <w:t xml:space="preserve">recommend clause 67 of the Administrative Review Tribunal Bill 2023 be amended to </w:t>
      </w:r>
      <w:r w:rsidR="00B21ED5" w:rsidRPr="000E437B">
        <w:rPr>
          <w:rStyle w:val="normaltextrun"/>
          <w:b/>
          <w:bCs/>
          <w:sz w:val="24"/>
          <w:szCs w:val="24"/>
        </w:rPr>
        <w:t xml:space="preserve">rename litigation guardians </w:t>
      </w:r>
      <w:r w:rsidR="00324B87" w:rsidRPr="000E437B">
        <w:rPr>
          <w:rStyle w:val="normaltextrun"/>
          <w:b/>
          <w:bCs/>
          <w:sz w:val="24"/>
          <w:szCs w:val="24"/>
        </w:rPr>
        <w:t>to litigation supporters</w:t>
      </w:r>
      <w:r w:rsidRPr="000E437B">
        <w:rPr>
          <w:rStyle w:val="normaltextrun"/>
          <w:b/>
          <w:bCs/>
          <w:sz w:val="24"/>
          <w:szCs w:val="24"/>
        </w:rPr>
        <w:t>.</w:t>
      </w:r>
      <w:r w:rsidR="00862A32" w:rsidRPr="000E437B">
        <w:rPr>
          <w:rStyle w:val="normaltextrun"/>
          <w:b/>
          <w:bCs/>
          <w:sz w:val="24"/>
          <w:szCs w:val="24"/>
        </w:rPr>
        <w:t xml:space="preserve"> </w:t>
      </w:r>
    </w:p>
    <w:p w14:paraId="14FF66B7" w14:textId="4C0A1963" w:rsidR="00196ABB" w:rsidRDefault="004268A3" w:rsidP="0E887DD2">
      <w:pPr>
        <w:spacing w:line="360" w:lineRule="auto"/>
        <w:rPr>
          <w:rStyle w:val="normaltextrun"/>
          <w:b/>
          <w:bCs/>
          <w:sz w:val="24"/>
          <w:szCs w:val="24"/>
        </w:rPr>
      </w:pPr>
      <w:r w:rsidRPr="000E437B">
        <w:rPr>
          <w:rStyle w:val="normaltextrun"/>
          <w:b/>
          <w:bCs/>
          <w:color w:val="522E91"/>
          <w:sz w:val="24"/>
          <w:szCs w:val="24"/>
        </w:rPr>
        <w:t>Recommendation 1</w:t>
      </w:r>
      <w:r w:rsidR="00C94910">
        <w:rPr>
          <w:rStyle w:val="normaltextrun"/>
          <w:b/>
          <w:bCs/>
          <w:color w:val="522E91"/>
          <w:sz w:val="24"/>
          <w:szCs w:val="24"/>
        </w:rPr>
        <w:t>2</w:t>
      </w:r>
      <w:r w:rsidRPr="000E437B">
        <w:rPr>
          <w:rStyle w:val="normaltextrun"/>
          <w:b/>
          <w:bCs/>
          <w:color w:val="522E91"/>
          <w:sz w:val="24"/>
          <w:szCs w:val="24"/>
        </w:rPr>
        <w:t>:</w:t>
      </w:r>
      <w:r w:rsidRPr="000E437B">
        <w:rPr>
          <w:rStyle w:val="normaltextrun"/>
          <w:b/>
          <w:bCs/>
          <w:color w:val="7030A0"/>
          <w:sz w:val="24"/>
          <w:szCs w:val="24"/>
        </w:rPr>
        <w:t> </w:t>
      </w:r>
      <w:r w:rsidRPr="000E437B">
        <w:rPr>
          <w:rStyle w:val="normaltextrun"/>
          <w:b/>
          <w:bCs/>
          <w:sz w:val="24"/>
          <w:szCs w:val="24"/>
        </w:rPr>
        <w:t xml:space="preserve">The Committee </w:t>
      </w:r>
      <w:r w:rsidR="005108B0" w:rsidRPr="000E437B">
        <w:rPr>
          <w:rStyle w:val="normaltextrun"/>
          <w:b/>
          <w:bCs/>
          <w:sz w:val="24"/>
          <w:szCs w:val="24"/>
        </w:rPr>
        <w:t xml:space="preserve">should </w:t>
      </w:r>
      <w:r w:rsidRPr="000E437B">
        <w:rPr>
          <w:rStyle w:val="normaltextrun"/>
          <w:b/>
          <w:bCs/>
          <w:sz w:val="24"/>
          <w:szCs w:val="24"/>
        </w:rPr>
        <w:t xml:space="preserve">recommend clause 67 of the Administrative Review Tribunal Bill 2023 be amended to integrate </w:t>
      </w:r>
      <w:r w:rsidR="005A7276" w:rsidRPr="000E437B">
        <w:rPr>
          <w:rStyle w:val="normaltextrun"/>
          <w:b/>
          <w:bCs/>
          <w:sz w:val="24"/>
          <w:szCs w:val="24"/>
        </w:rPr>
        <w:t xml:space="preserve">the DRC’s Recommendation 6.8 </w:t>
      </w:r>
      <w:r w:rsidR="00836FBE" w:rsidRPr="000E437B">
        <w:rPr>
          <w:rStyle w:val="normaltextrun"/>
          <w:b/>
          <w:bCs/>
          <w:sz w:val="24"/>
          <w:szCs w:val="24"/>
        </w:rPr>
        <w:t>regarding formal supporters</w:t>
      </w:r>
      <w:r w:rsidR="00D76FCC" w:rsidRPr="000E437B">
        <w:rPr>
          <w:rStyle w:val="normaltextrun"/>
          <w:b/>
          <w:bCs/>
          <w:sz w:val="24"/>
          <w:szCs w:val="24"/>
        </w:rPr>
        <w:t>.</w:t>
      </w:r>
    </w:p>
    <w:p w14:paraId="6D8B3F97" w14:textId="77777777" w:rsidR="00162FF8" w:rsidRDefault="00162FF8" w:rsidP="0E887DD2">
      <w:pPr>
        <w:spacing w:line="360" w:lineRule="auto"/>
        <w:rPr>
          <w:rStyle w:val="normaltextrun"/>
          <w:b/>
          <w:bCs/>
          <w:sz w:val="24"/>
          <w:szCs w:val="24"/>
        </w:rPr>
      </w:pPr>
    </w:p>
    <w:p w14:paraId="6C3D48B2" w14:textId="77777777" w:rsidR="007607A8" w:rsidRDefault="007607A8" w:rsidP="48893F7C">
      <w:pPr>
        <w:pStyle w:val="Heading2"/>
        <w:keepNext w:val="0"/>
        <w:keepLines w:val="0"/>
        <w:spacing w:line="360" w:lineRule="auto"/>
        <w:rPr>
          <w:rStyle w:val="normaltextrun"/>
          <w:rFonts w:ascii="Calibri" w:hAnsi="Calibri" w:cs="Calibri"/>
          <w:color w:val="7030A0"/>
        </w:rPr>
      </w:pPr>
    </w:p>
    <w:p w14:paraId="27A41011" w14:textId="38388B1A" w:rsidR="00F20E4A" w:rsidRPr="00162FF8" w:rsidRDefault="000E437B" w:rsidP="48893F7C">
      <w:pPr>
        <w:pStyle w:val="Heading2"/>
        <w:keepNext w:val="0"/>
        <w:keepLines w:val="0"/>
        <w:spacing w:line="360" w:lineRule="auto"/>
        <w:rPr>
          <w:rStyle w:val="normaltextrun"/>
          <w:rFonts w:ascii="Calibri" w:hAnsi="Calibri" w:cs="Calibri"/>
          <w:color w:val="7030A0"/>
        </w:rPr>
      </w:pPr>
      <w:bookmarkStart w:id="14" w:name="_Toc156546028"/>
      <w:r w:rsidRPr="00162FF8">
        <w:rPr>
          <w:rStyle w:val="normaltextrun"/>
          <w:rFonts w:ascii="Calibri" w:hAnsi="Calibri" w:cs="Calibri"/>
          <w:color w:val="7030A0"/>
        </w:rPr>
        <w:t xml:space="preserve">7.4 </w:t>
      </w:r>
      <w:r w:rsidR="00F20E4A" w:rsidRPr="00162FF8">
        <w:rPr>
          <w:rStyle w:val="normaltextrun"/>
          <w:rFonts w:ascii="Calibri" w:hAnsi="Calibri" w:cs="Calibri"/>
          <w:color w:val="7030A0"/>
        </w:rPr>
        <w:t>Decision-making ‘ability’</w:t>
      </w:r>
      <w:bookmarkEnd w:id="14"/>
      <w:r w:rsidR="00F20E4A" w:rsidRPr="00162FF8">
        <w:rPr>
          <w:rStyle w:val="eop"/>
          <w:rFonts w:ascii="Calibri" w:hAnsi="Calibri" w:cs="Calibri"/>
          <w:color w:val="7030A0"/>
        </w:rPr>
        <w:t> </w:t>
      </w:r>
    </w:p>
    <w:p w14:paraId="5C092408" w14:textId="5A1D5351" w:rsidR="00F20E4A" w:rsidRDefault="099FDCC5" w:rsidP="0E887DD2">
      <w:pPr>
        <w:pStyle w:val="paragraph"/>
        <w:spacing w:before="0" w:beforeAutospacing="0" w:after="0" w:afterAutospacing="0" w:line="360" w:lineRule="auto"/>
        <w:textAlignment w:val="baseline"/>
        <w:rPr>
          <w:rFonts w:ascii="Segoe UI" w:hAnsi="Segoe UI" w:cs="Segoe UI"/>
          <w:sz w:val="18"/>
          <w:szCs w:val="18"/>
        </w:rPr>
      </w:pPr>
      <w:r w:rsidRPr="0E887DD2">
        <w:rPr>
          <w:rStyle w:val="normaltextrun"/>
          <w:rFonts w:ascii="Calibri" w:hAnsi="Calibri" w:cs="Calibri"/>
        </w:rPr>
        <w:t>I</w:t>
      </w:r>
      <w:r w:rsidR="00F20E4A" w:rsidRPr="0E887DD2">
        <w:rPr>
          <w:rStyle w:val="normaltextrun"/>
          <w:rFonts w:ascii="Calibri" w:hAnsi="Calibri" w:cs="Calibri"/>
        </w:rPr>
        <w:t>n the previous section, we underscored the fundamental importance of the right to make one’s own decisions being placed at the core of clause 67 and emphasised how supported decision-making approaches can help to enable this. In this section, we move to discussing some of the essential elements and principles that need to underpin how this is operationalised. </w:t>
      </w:r>
      <w:r w:rsidR="00F20E4A" w:rsidRPr="0E887DD2">
        <w:rPr>
          <w:rStyle w:val="eop"/>
          <w:rFonts w:ascii="Calibri" w:hAnsi="Calibri" w:cs="Calibri"/>
        </w:rPr>
        <w:t> </w:t>
      </w:r>
    </w:p>
    <w:p w14:paraId="2E96EB80" w14:textId="77777777" w:rsidR="007607A8" w:rsidRDefault="000E437B" w:rsidP="007607A8">
      <w:pPr>
        <w:pStyle w:val="paragraph"/>
        <w:spacing w:before="0" w:beforeAutospacing="0" w:after="0" w:afterAutospacing="0" w:line="360" w:lineRule="auto"/>
        <w:rPr>
          <w:rFonts w:ascii="Segoe UI" w:hAnsi="Segoe UI" w:cs="Segoe UI"/>
          <w:sz w:val="26"/>
          <w:szCs w:val="26"/>
        </w:rPr>
      </w:pPr>
      <w:proofErr w:type="gramStart"/>
      <w:r w:rsidRPr="00162FF8">
        <w:rPr>
          <w:rStyle w:val="eop"/>
          <w:rFonts w:ascii="Calibri" w:hAnsi="Calibri" w:cs="Calibri"/>
          <w:sz w:val="26"/>
          <w:szCs w:val="26"/>
        </w:rPr>
        <w:t xml:space="preserve">7.5 </w:t>
      </w:r>
      <w:r w:rsidR="00F20E4A" w:rsidRPr="00162FF8">
        <w:rPr>
          <w:rStyle w:val="eop"/>
          <w:rFonts w:ascii="Calibri" w:hAnsi="Calibri" w:cs="Calibri"/>
          <w:sz w:val="26"/>
          <w:szCs w:val="26"/>
        </w:rPr>
        <w:t> </w:t>
      </w:r>
      <w:r w:rsidR="00F20E4A" w:rsidRPr="00162FF8">
        <w:rPr>
          <w:rStyle w:val="normaltextrun"/>
          <w:rFonts w:ascii="Calibri" w:hAnsi="Calibri" w:cs="Calibri"/>
          <w:color w:val="522E91"/>
          <w:sz w:val="26"/>
          <w:szCs w:val="26"/>
        </w:rPr>
        <w:t>Reframing</w:t>
      </w:r>
      <w:proofErr w:type="gramEnd"/>
      <w:r w:rsidR="00F20E4A" w:rsidRPr="00162FF8">
        <w:rPr>
          <w:rStyle w:val="normaltextrun"/>
          <w:rFonts w:ascii="Calibri" w:hAnsi="Calibri" w:cs="Calibri"/>
          <w:color w:val="522E91"/>
          <w:sz w:val="26"/>
          <w:szCs w:val="26"/>
        </w:rPr>
        <w:t xml:space="preserve"> ‘capacity’ as ‘ability’ </w:t>
      </w:r>
      <w:r w:rsidR="00F20E4A" w:rsidRPr="00162FF8">
        <w:rPr>
          <w:rStyle w:val="eop"/>
          <w:rFonts w:ascii="Calibri" w:hAnsi="Calibri" w:cs="Calibri"/>
          <w:color w:val="522E91"/>
          <w:sz w:val="26"/>
          <w:szCs w:val="26"/>
        </w:rPr>
        <w:t> </w:t>
      </w:r>
    </w:p>
    <w:p w14:paraId="724F3903" w14:textId="217C09F6" w:rsidR="00F20E4A" w:rsidRPr="007607A8" w:rsidRDefault="00F20E4A" w:rsidP="007607A8">
      <w:pPr>
        <w:pStyle w:val="paragraph"/>
        <w:spacing w:before="0" w:beforeAutospacing="0" w:after="0" w:afterAutospacing="0" w:line="360" w:lineRule="auto"/>
        <w:rPr>
          <w:rFonts w:ascii="Segoe UI" w:hAnsi="Segoe UI" w:cs="Segoe UI"/>
          <w:sz w:val="26"/>
          <w:szCs w:val="26"/>
        </w:rPr>
      </w:pPr>
      <w:r>
        <w:rPr>
          <w:rStyle w:val="normaltextrun"/>
          <w:rFonts w:ascii="Calibri" w:hAnsi="Calibri" w:cs="Calibri"/>
        </w:rPr>
        <w:t xml:space="preserve">We acknowledge the </w:t>
      </w:r>
      <w:r w:rsidR="00554552">
        <w:rPr>
          <w:rStyle w:val="normaltextrun"/>
          <w:rFonts w:ascii="Calibri" w:hAnsi="Calibri" w:cs="Calibri"/>
        </w:rPr>
        <w:t>Bill</w:t>
      </w:r>
      <w:r>
        <w:rPr>
          <w:rStyle w:val="normaltextrun"/>
          <w:rFonts w:ascii="Calibri" w:hAnsi="Calibri" w:cs="Calibri"/>
        </w:rPr>
        <w:t xml:space="preserve"> was </w:t>
      </w:r>
      <w:r w:rsidR="00554552">
        <w:rPr>
          <w:rStyle w:val="normaltextrun"/>
          <w:rFonts w:ascii="Calibri" w:hAnsi="Calibri" w:cs="Calibri"/>
        </w:rPr>
        <w:t>consulted on</w:t>
      </w:r>
      <w:r>
        <w:rPr>
          <w:rStyle w:val="normaltextrun"/>
          <w:rFonts w:ascii="Calibri" w:hAnsi="Calibri" w:cs="Calibri"/>
        </w:rPr>
        <w:t xml:space="preserve"> prior to</w:t>
      </w:r>
      <w:r w:rsidR="00AC211C">
        <w:rPr>
          <w:rStyle w:val="normaltextrun"/>
          <w:rFonts w:ascii="Calibri" w:hAnsi="Calibri" w:cs="Calibri"/>
        </w:rPr>
        <w:t xml:space="preserve"> the</w:t>
      </w:r>
      <w:r>
        <w:rPr>
          <w:rStyle w:val="normaltextrun"/>
          <w:rFonts w:ascii="Calibri" w:hAnsi="Calibri" w:cs="Calibri"/>
        </w:rPr>
        <w:t xml:space="preserve"> publication of the DRC’s Final Report</w:t>
      </w:r>
      <w:r w:rsidR="00F80BC1">
        <w:rPr>
          <w:rStyle w:val="normaltextrun"/>
          <w:rFonts w:ascii="Calibri" w:hAnsi="Calibri" w:cs="Calibri"/>
        </w:rPr>
        <w:t xml:space="preserve">. </w:t>
      </w:r>
      <w:r>
        <w:rPr>
          <w:rStyle w:val="normaltextrun"/>
          <w:rFonts w:ascii="Calibri" w:hAnsi="Calibri" w:cs="Calibri"/>
        </w:rPr>
        <w:t xml:space="preserve">We firmly believe that </w:t>
      </w:r>
      <w:r w:rsidR="00281114">
        <w:rPr>
          <w:rStyle w:val="normaltextrun"/>
          <w:rFonts w:ascii="Calibri" w:hAnsi="Calibri" w:cs="Calibri"/>
        </w:rPr>
        <w:t xml:space="preserve">this Bill </w:t>
      </w:r>
      <w:r>
        <w:rPr>
          <w:rStyle w:val="normaltextrun"/>
          <w:rFonts w:ascii="Calibri" w:hAnsi="Calibri" w:cs="Calibri"/>
        </w:rPr>
        <w:t>should adopt the Disability Royal Commission's Recommendation 6.4</w:t>
      </w:r>
      <w:r w:rsidR="00B71240">
        <w:rPr>
          <w:rStyle w:val="FootnoteReference"/>
          <w:rFonts w:ascii="Calibri" w:hAnsi="Calibri" w:cs="Calibri"/>
        </w:rPr>
        <w:footnoteReference w:id="26"/>
      </w:r>
      <w:r>
        <w:rPr>
          <w:rStyle w:val="normaltextrun"/>
          <w:rFonts w:ascii="Calibri" w:hAnsi="Calibri" w:cs="Calibri"/>
        </w:rPr>
        <w:t xml:space="preserve"> in full, including replacing decision-making ‘capacity’</w:t>
      </w:r>
      <w:r w:rsidR="00ED6232">
        <w:rPr>
          <w:rStyle w:val="normaltextrun"/>
          <w:rFonts w:ascii="Calibri" w:hAnsi="Calibri" w:cs="Calibri"/>
        </w:rPr>
        <w:t xml:space="preserve"> </w:t>
      </w:r>
      <w:r>
        <w:rPr>
          <w:rStyle w:val="normaltextrun"/>
          <w:rFonts w:ascii="Calibri" w:hAnsi="Calibri" w:cs="Calibri"/>
        </w:rPr>
        <w:t>with decision-making ‘ability’. The definition for decision</w:t>
      </w:r>
      <w:r w:rsidR="00233D3B">
        <w:rPr>
          <w:rStyle w:val="normaltextrun"/>
          <w:rFonts w:ascii="Calibri" w:hAnsi="Calibri" w:cs="Calibri"/>
        </w:rPr>
        <w:t>-</w:t>
      </w:r>
      <w:r>
        <w:rPr>
          <w:rStyle w:val="normaltextrun"/>
          <w:rFonts w:ascii="Calibri" w:hAnsi="Calibri" w:cs="Calibri"/>
        </w:rPr>
        <w:t>making ability could also be further clarified by integrating other DRC recommendations.  </w:t>
      </w:r>
      <w:r>
        <w:rPr>
          <w:rStyle w:val="eop"/>
          <w:rFonts w:ascii="Calibri" w:hAnsi="Calibri" w:cs="Calibri"/>
        </w:rPr>
        <w:t> </w:t>
      </w:r>
    </w:p>
    <w:p w14:paraId="644B1B67" w14:textId="67495EA6" w:rsidR="00F20E4A" w:rsidRDefault="00F20E4A" w:rsidP="2C561418">
      <w:pPr>
        <w:pStyle w:val="paragraph"/>
        <w:spacing w:before="0" w:after="0" w:afterAutospacing="0" w:line="360" w:lineRule="auto"/>
        <w:jc w:val="both"/>
        <w:textAlignment w:val="baseline"/>
        <w:rPr>
          <w:rFonts w:ascii="Segoe UI" w:hAnsi="Segoe UI" w:cs="Segoe UI"/>
          <w:sz w:val="18"/>
          <w:szCs w:val="18"/>
        </w:rPr>
      </w:pPr>
      <w:r w:rsidRPr="2C561418">
        <w:rPr>
          <w:rStyle w:val="normaltextrun"/>
          <w:rFonts w:ascii="Calibri" w:hAnsi="Calibri" w:cs="Calibri"/>
        </w:rPr>
        <w:lastRenderedPageBreak/>
        <w:t>JFA Purple Orange recognises the term ‘capacity’ is a widely applied concept across a range of legal and clinical settings with which the disability community regularly interacts. Examples include the</w:t>
      </w:r>
      <w:r w:rsidR="42D1C673" w:rsidRPr="2C561418">
        <w:rPr>
          <w:rStyle w:val="normaltextrun"/>
          <w:rFonts w:ascii="Calibri" w:hAnsi="Calibri" w:cs="Calibri"/>
        </w:rPr>
        <w:t xml:space="preserve"> </w:t>
      </w:r>
      <w:r w:rsidRPr="2C561418">
        <w:rPr>
          <w:rStyle w:val="normaltextrun"/>
          <w:rFonts w:ascii="Calibri" w:hAnsi="Calibri" w:cs="Calibri"/>
        </w:rPr>
        <w:t xml:space="preserve">NDIS, guardianship arrangements, and eligibility for the DSP. We believe that conceptualisations of ‘capacity/ability’ attest to various levels of ‘capacity/ability’ rather than a single differentiation between competent or not competent at a point in time. A single demarcation invites misinterpretation because authorities must make a definitive determination when considering the appointment of a </w:t>
      </w:r>
      <w:r w:rsidR="00F66EA5" w:rsidRPr="2C561418">
        <w:rPr>
          <w:rStyle w:val="normaltextrun"/>
          <w:rFonts w:ascii="Calibri" w:hAnsi="Calibri" w:cs="Calibri"/>
        </w:rPr>
        <w:t xml:space="preserve">litigation </w:t>
      </w:r>
      <w:r w:rsidR="002F5304" w:rsidRPr="2C561418">
        <w:rPr>
          <w:rStyle w:val="normaltextrun"/>
          <w:rFonts w:ascii="Calibri" w:hAnsi="Calibri" w:cs="Calibri"/>
        </w:rPr>
        <w:t xml:space="preserve">guardian. </w:t>
      </w:r>
      <w:r w:rsidRPr="2C561418">
        <w:rPr>
          <w:rStyle w:val="normaltextrun"/>
          <w:rFonts w:ascii="Calibri" w:hAnsi="Calibri" w:cs="Calibri"/>
        </w:rPr>
        <w:t>A shift from ‘capacity’ to ‘ability’ will help to reframe the concept in a way that moves past binary ‘competent’ and ‘not competent’ judgements and better reflects a range of levels of ‘ability’ and support needs.   </w:t>
      </w:r>
      <w:r w:rsidRPr="2C561418">
        <w:rPr>
          <w:rStyle w:val="eop"/>
          <w:rFonts w:ascii="Calibri" w:hAnsi="Calibri" w:cs="Calibri"/>
        </w:rPr>
        <w:t> </w:t>
      </w:r>
    </w:p>
    <w:p w14:paraId="4A8B1233" w14:textId="0F1782B9" w:rsidR="00B923A0" w:rsidRDefault="00F20E4A" w:rsidP="0E887DD2">
      <w:pPr>
        <w:pStyle w:val="paragraph"/>
        <w:spacing w:before="0" w:after="0" w:afterAutospacing="0" w:line="360" w:lineRule="auto"/>
        <w:jc w:val="both"/>
        <w:textAlignment w:val="baseline"/>
        <w:rPr>
          <w:rStyle w:val="normaltextrun"/>
          <w:rFonts w:ascii="Calibri" w:hAnsi="Calibri" w:cs="Calibri"/>
          <w:color w:val="000000"/>
          <w:shd w:val="clear" w:color="auto" w:fill="FFFFFF"/>
        </w:rPr>
      </w:pPr>
      <w:r>
        <w:rPr>
          <w:rStyle w:val="normaltextrun"/>
          <w:rFonts w:ascii="Calibri" w:hAnsi="Calibri" w:cs="Calibri"/>
        </w:rPr>
        <w:t xml:space="preserve">Further, as the DRC Final Report points out, the concept of ‘capacity’ is loaded with outdated negative assumptions based on its </w:t>
      </w:r>
      <w:r w:rsidR="00DD1240">
        <w:rPr>
          <w:rStyle w:val="normaltextrun"/>
          <w:rFonts w:ascii="Calibri" w:hAnsi="Calibri" w:cs="Calibri"/>
        </w:rPr>
        <w:t>historical association with</w:t>
      </w:r>
      <w:r>
        <w:rPr>
          <w:rStyle w:val="normaltextrun"/>
          <w:rFonts w:ascii="Calibri" w:hAnsi="Calibri" w:cs="Calibri"/>
        </w:rPr>
        <w:t xml:space="preserve"> substitute decision</w:t>
      </w:r>
      <w:r w:rsidR="00092259">
        <w:rPr>
          <w:rStyle w:val="normaltextrun"/>
          <w:rFonts w:ascii="Calibri" w:hAnsi="Calibri" w:cs="Calibri"/>
        </w:rPr>
        <w:t xml:space="preserve"> </w:t>
      </w:r>
      <w:r>
        <w:rPr>
          <w:rStyle w:val="normaltextrun"/>
          <w:rFonts w:ascii="Calibri" w:hAnsi="Calibri" w:cs="Calibri"/>
        </w:rPr>
        <w:t>making</w:t>
      </w:r>
      <w:r w:rsidR="00092259">
        <w:rPr>
          <w:rStyle w:val="normaltextrun"/>
          <w:rFonts w:ascii="Calibri" w:hAnsi="Calibri" w:cs="Calibri"/>
        </w:rPr>
        <w:t>.</w:t>
      </w:r>
      <w:r w:rsidR="008A20A2">
        <w:rPr>
          <w:rStyle w:val="normaltextrun"/>
          <w:rFonts w:ascii="Calibri" w:hAnsi="Calibri" w:cs="Calibri"/>
        </w:rPr>
        <w:t xml:space="preserve"> T</w:t>
      </w:r>
      <w:r>
        <w:rPr>
          <w:rStyle w:val="normaltextrun"/>
          <w:rFonts w:ascii="Calibri" w:hAnsi="Calibri" w:cs="Calibri"/>
        </w:rPr>
        <w:t>he more affirming concept of ‘ability’ reflects the fact that all people (with very few exceptions) have an ability to make decisions</w:t>
      </w:r>
      <w:r w:rsidR="00D66027">
        <w:rPr>
          <w:rStyle w:val="normaltextrun"/>
          <w:rFonts w:ascii="Calibri" w:hAnsi="Calibri" w:cs="Calibri"/>
        </w:rPr>
        <w:t>,</w:t>
      </w:r>
      <w:r>
        <w:rPr>
          <w:rStyle w:val="normaltextrun"/>
          <w:rFonts w:ascii="Calibri" w:hAnsi="Calibri" w:cs="Calibri"/>
        </w:rPr>
        <w:t xml:space="preserve"> although some may need to access appropriate supports to do so. The default position in law should be that such supports must be provided, not that a requirement for support means a person lacks ‘capacity’ and should be deprived of decision-making power. </w:t>
      </w:r>
      <w:r w:rsidR="00321693">
        <w:rPr>
          <w:rStyle w:val="normaltextrun"/>
          <w:rFonts w:ascii="Calibri" w:hAnsi="Calibri" w:cs="Calibri"/>
          <w:color w:val="000000"/>
          <w:shd w:val="clear" w:color="auto" w:fill="FFFFFF"/>
        </w:rPr>
        <w:t xml:space="preserve">Further, clause 67 should state that there is </w:t>
      </w:r>
      <w:r w:rsidR="00DE55FB">
        <w:rPr>
          <w:rStyle w:val="normaltextrun"/>
          <w:rFonts w:ascii="Calibri" w:hAnsi="Calibri" w:cs="Calibri"/>
          <w:color w:val="000000"/>
          <w:shd w:val="clear" w:color="auto" w:fill="FFFFFF"/>
        </w:rPr>
        <w:t>a presumption of ‘ability’</w:t>
      </w:r>
      <w:r w:rsidR="001C6311">
        <w:rPr>
          <w:rStyle w:val="normaltextrun"/>
          <w:rFonts w:ascii="Calibri" w:hAnsi="Calibri" w:cs="Calibri"/>
          <w:color w:val="000000"/>
          <w:shd w:val="clear" w:color="auto" w:fill="FFFFFF"/>
        </w:rPr>
        <w:t>,</w:t>
      </w:r>
      <w:r w:rsidR="00DE55FB">
        <w:rPr>
          <w:rStyle w:val="normaltextrun"/>
          <w:rFonts w:ascii="Calibri" w:hAnsi="Calibri" w:cs="Calibri"/>
          <w:color w:val="000000"/>
          <w:shd w:val="clear" w:color="auto" w:fill="FFFFFF"/>
        </w:rPr>
        <w:t xml:space="preserve"> integrat</w:t>
      </w:r>
      <w:r w:rsidR="001C6311">
        <w:rPr>
          <w:rStyle w:val="normaltextrun"/>
          <w:rFonts w:ascii="Calibri" w:hAnsi="Calibri" w:cs="Calibri"/>
          <w:color w:val="000000"/>
          <w:shd w:val="clear" w:color="auto" w:fill="FFFFFF"/>
        </w:rPr>
        <w:t>ing</w:t>
      </w:r>
      <w:r w:rsidR="00DE55FB">
        <w:rPr>
          <w:rStyle w:val="normaltextrun"/>
          <w:rFonts w:ascii="Calibri" w:hAnsi="Calibri" w:cs="Calibri"/>
          <w:color w:val="000000"/>
          <w:shd w:val="clear" w:color="auto" w:fill="FFFFFF"/>
        </w:rPr>
        <w:t xml:space="preserve"> the Disability Royal Commission's Recommendation 6.7</w:t>
      </w:r>
      <w:r w:rsidR="001C6311">
        <w:rPr>
          <w:rStyle w:val="normaltextrun"/>
          <w:rFonts w:ascii="Calibri" w:hAnsi="Calibri" w:cs="Calibri"/>
          <w:color w:val="000000"/>
          <w:shd w:val="clear" w:color="auto" w:fill="FFFFFF"/>
        </w:rPr>
        <w:t>,</w:t>
      </w:r>
      <w:r w:rsidR="00195E36">
        <w:rPr>
          <w:rStyle w:val="FootnoteReference"/>
          <w:rFonts w:ascii="Calibri" w:hAnsi="Calibri" w:cs="Calibri"/>
          <w:color w:val="000000"/>
          <w:shd w:val="clear" w:color="auto" w:fill="FFFFFF"/>
        </w:rPr>
        <w:footnoteReference w:id="27"/>
      </w:r>
      <w:r w:rsidR="00160961">
        <w:rPr>
          <w:rStyle w:val="normaltextrun"/>
          <w:rFonts w:ascii="Calibri" w:hAnsi="Calibri" w:cs="Calibri"/>
          <w:color w:val="000000"/>
          <w:shd w:val="clear" w:color="auto" w:fill="FFFFFF"/>
        </w:rPr>
        <w:t xml:space="preserve"> which </w:t>
      </w:r>
      <w:r w:rsidR="00B923A0">
        <w:rPr>
          <w:rStyle w:val="normaltextrun"/>
          <w:rFonts w:ascii="Calibri" w:hAnsi="Calibri" w:cs="Calibri"/>
          <w:color w:val="000000"/>
          <w:shd w:val="clear" w:color="auto" w:fill="FFFFFF"/>
        </w:rPr>
        <w:t>asserts</w:t>
      </w:r>
      <w:r w:rsidR="00160961">
        <w:rPr>
          <w:rStyle w:val="normaltextrun"/>
          <w:rFonts w:ascii="Calibri" w:hAnsi="Calibri" w:cs="Calibri"/>
          <w:color w:val="000000"/>
          <w:shd w:val="clear" w:color="auto" w:fill="FFFFFF"/>
        </w:rPr>
        <w:t xml:space="preserve"> this presumption</w:t>
      </w:r>
      <w:r w:rsidR="00DE55FB">
        <w:rPr>
          <w:rStyle w:val="normaltextrun"/>
          <w:rFonts w:ascii="Calibri" w:hAnsi="Calibri" w:cs="Calibri"/>
          <w:color w:val="000000"/>
          <w:shd w:val="clear" w:color="auto" w:fill="FFFFFF"/>
        </w:rPr>
        <w:t xml:space="preserve"> cannot be rebutted solely on the basis that a person has a disability.</w:t>
      </w:r>
    </w:p>
    <w:p w14:paraId="629F49AD" w14:textId="60C796CC" w:rsidR="00BD5C2D" w:rsidRPr="000E437B" w:rsidRDefault="00BD5C2D" w:rsidP="0E887DD2">
      <w:pPr>
        <w:spacing w:line="360" w:lineRule="auto"/>
        <w:rPr>
          <w:rStyle w:val="normaltextrun"/>
          <w:b/>
          <w:bCs/>
          <w:sz w:val="24"/>
          <w:szCs w:val="24"/>
        </w:rPr>
      </w:pPr>
      <w:r w:rsidRPr="000E437B">
        <w:rPr>
          <w:rStyle w:val="normaltextrun"/>
          <w:b/>
          <w:bCs/>
          <w:color w:val="522E91"/>
          <w:sz w:val="24"/>
          <w:szCs w:val="24"/>
        </w:rPr>
        <w:t>Recommendation 1</w:t>
      </w:r>
      <w:r w:rsidR="00C94910">
        <w:rPr>
          <w:rStyle w:val="normaltextrun"/>
          <w:b/>
          <w:bCs/>
          <w:color w:val="522E91"/>
          <w:sz w:val="24"/>
          <w:szCs w:val="24"/>
        </w:rPr>
        <w:t>3</w:t>
      </w:r>
      <w:r w:rsidRPr="000E437B">
        <w:rPr>
          <w:rStyle w:val="normaltextrun"/>
          <w:b/>
          <w:bCs/>
          <w:color w:val="522E91"/>
          <w:sz w:val="24"/>
          <w:szCs w:val="24"/>
        </w:rPr>
        <w:t>:</w:t>
      </w:r>
      <w:r w:rsidRPr="000E437B">
        <w:rPr>
          <w:rStyle w:val="normaltextrun"/>
          <w:b/>
          <w:bCs/>
          <w:color w:val="7030A0"/>
          <w:sz w:val="24"/>
          <w:szCs w:val="24"/>
        </w:rPr>
        <w:t> </w:t>
      </w:r>
      <w:r w:rsidRPr="000E437B">
        <w:rPr>
          <w:rStyle w:val="normaltextrun"/>
          <w:b/>
          <w:bCs/>
          <w:sz w:val="24"/>
          <w:szCs w:val="24"/>
        </w:rPr>
        <w:t xml:space="preserve">The Committee </w:t>
      </w:r>
      <w:r w:rsidR="001C6311" w:rsidRPr="000E437B">
        <w:rPr>
          <w:rStyle w:val="normaltextrun"/>
          <w:b/>
          <w:bCs/>
          <w:sz w:val="24"/>
          <w:szCs w:val="24"/>
        </w:rPr>
        <w:t xml:space="preserve">should </w:t>
      </w:r>
      <w:r w:rsidRPr="000E437B">
        <w:rPr>
          <w:rStyle w:val="normaltextrun"/>
          <w:b/>
          <w:bCs/>
          <w:sz w:val="24"/>
          <w:szCs w:val="24"/>
        </w:rPr>
        <w:t>recommend clause 67 of the Administrative Review Tribunal Bill 2023 be amended to replace all references to capacity</w:t>
      </w:r>
      <w:r w:rsidR="000611DC" w:rsidRPr="000E437B">
        <w:rPr>
          <w:rStyle w:val="normaltextrun"/>
          <w:b/>
          <w:bCs/>
          <w:sz w:val="24"/>
          <w:szCs w:val="24"/>
        </w:rPr>
        <w:t>/</w:t>
      </w:r>
      <w:r w:rsidRPr="000E437B">
        <w:rPr>
          <w:rStyle w:val="normaltextrun"/>
          <w:b/>
          <w:bCs/>
          <w:sz w:val="24"/>
          <w:szCs w:val="24"/>
        </w:rPr>
        <w:t>capab</w:t>
      </w:r>
      <w:r w:rsidR="002A5246" w:rsidRPr="000E437B">
        <w:rPr>
          <w:rStyle w:val="normaltextrun"/>
          <w:b/>
          <w:bCs/>
          <w:sz w:val="24"/>
          <w:szCs w:val="24"/>
        </w:rPr>
        <w:t>le</w:t>
      </w:r>
      <w:r w:rsidR="00223944" w:rsidRPr="000E437B">
        <w:rPr>
          <w:rStyle w:val="normaltextrun"/>
          <w:b/>
          <w:bCs/>
          <w:sz w:val="24"/>
          <w:szCs w:val="24"/>
        </w:rPr>
        <w:t xml:space="preserve"> </w:t>
      </w:r>
      <w:r w:rsidR="007214C9" w:rsidRPr="000E437B">
        <w:rPr>
          <w:rStyle w:val="normaltextrun"/>
          <w:b/>
          <w:bCs/>
          <w:sz w:val="24"/>
          <w:szCs w:val="24"/>
        </w:rPr>
        <w:t>with</w:t>
      </w:r>
      <w:r w:rsidR="00223944" w:rsidRPr="000E437B">
        <w:rPr>
          <w:rStyle w:val="normaltextrun"/>
          <w:b/>
          <w:bCs/>
          <w:sz w:val="24"/>
          <w:szCs w:val="24"/>
        </w:rPr>
        <w:t xml:space="preserve"> a</w:t>
      </w:r>
      <w:r w:rsidR="002A5246" w:rsidRPr="000E437B">
        <w:rPr>
          <w:rStyle w:val="normaltextrun"/>
          <w:b/>
          <w:bCs/>
          <w:sz w:val="24"/>
          <w:szCs w:val="24"/>
        </w:rPr>
        <w:t>bility</w:t>
      </w:r>
      <w:r w:rsidR="007214C9" w:rsidRPr="000E437B">
        <w:rPr>
          <w:rStyle w:val="normaltextrun"/>
          <w:b/>
          <w:bCs/>
          <w:sz w:val="24"/>
          <w:szCs w:val="24"/>
        </w:rPr>
        <w:t>/able</w:t>
      </w:r>
      <w:r w:rsidRPr="000E437B">
        <w:rPr>
          <w:rStyle w:val="normaltextrun"/>
          <w:b/>
          <w:bCs/>
          <w:sz w:val="24"/>
          <w:szCs w:val="24"/>
        </w:rPr>
        <w:t>.</w:t>
      </w:r>
    </w:p>
    <w:p w14:paraId="125F8780" w14:textId="2FC1391E" w:rsidR="00D76927" w:rsidRPr="000E437B" w:rsidRDefault="00D76927" w:rsidP="0E887DD2">
      <w:pPr>
        <w:spacing w:line="360" w:lineRule="auto"/>
        <w:rPr>
          <w:color w:val="000000"/>
          <w:sz w:val="24"/>
          <w:szCs w:val="24"/>
        </w:rPr>
      </w:pPr>
      <w:r w:rsidRPr="000E437B">
        <w:rPr>
          <w:rStyle w:val="normaltextrun"/>
          <w:b/>
          <w:bCs/>
          <w:color w:val="522E91"/>
          <w:sz w:val="24"/>
          <w:szCs w:val="24"/>
        </w:rPr>
        <w:t>Recommendation 1</w:t>
      </w:r>
      <w:r w:rsidR="00C94910">
        <w:rPr>
          <w:rStyle w:val="normaltextrun"/>
          <w:b/>
          <w:bCs/>
          <w:color w:val="522E91"/>
          <w:sz w:val="24"/>
          <w:szCs w:val="24"/>
        </w:rPr>
        <w:t>4</w:t>
      </w:r>
      <w:r w:rsidRPr="000E437B">
        <w:rPr>
          <w:rStyle w:val="normaltextrun"/>
          <w:b/>
          <w:bCs/>
          <w:color w:val="522E91"/>
          <w:sz w:val="24"/>
          <w:szCs w:val="24"/>
        </w:rPr>
        <w:t>:</w:t>
      </w:r>
      <w:r w:rsidRPr="000E437B">
        <w:rPr>
          <w:rStyle w:val="normaltextrun"/>
          <w:b/>
          <w:bCs/>
          <w:color w:val="7030A0"/>
          <w:sz w:val="24"/>
          <w:szCs w:val="24"/>
        </w:rPr>
        <w:t> </w:t>
      </w:r>
      <w:r w:rsidRPr="000E437B">
        <w:rPr>
          <w:rStyle w:val="normaltextrun"/>
          <w:b/>
          <w:bCs/>
          <w:sz w:val="24"/>
          <w:szCs w:val="24"/>
        </w:rPr>
        <w:t xml:space="preserve">The Committee </w:t>
      </w:r>
      <w:r w:rsidR="007214C9" w:rsidRPr="000E437B">
        <w:rPr>
          <w:rStyle w:val="normaltextrun"/>
          <w:b/>
          <w:bCs/>
          <w:sz w:val="24"/>
          <w:szCs w:val="24"/>
        </w:rPr>
        <w:t xml:space="preserve">should </w:t>
      </w:r>
      <w:r w:rsidRPr="000E437B">
        <w:rPr>
          <w:rStyle w:val="normaltextrun"/>
          <w:b/>
          <w:bCs/>
          <w:sz w:val="24"/>
          <w:szCs w:val="24"/>
        </w:rPr>
        <w:t xml:space="preserve">recommend clause 67 of the Administrative Review Tribunal Bill 2023 be amended to </w:t>
      </w:r>
      <w:r w:rsidR="00C826F2" w:rsidRPr="000E437B">
        <w:rPr>
          <w:rStyle w:val="normaltextrun"/>
          <w:b/>
          <w:bCs/>
          <w:sz w:val="24"/>
          <w:szCs w:val="24"/>
        </w:rPr>
        <w:t xml:space="preserve">enshrine a presumption of ability </w:t>
      </w:r>
      <w:r w:rsidR="004E5416" w:rsidRPr="000E437B">
        <w:rPr>
          <w:rStyle w:val="normaltextrun"/>
          <w:b/>
          <w:bCs/>
          <w:sz w:val="24"/>
          <w:szCs w:val="24"/>
        </w:rPr>
        <w:t>in accordance with DRC Recommendation 6.7</w:t>
      </w:r>
      <w:r w:rsidRPr="000E437B">
        <w:rPr>
          <w:rStyle w:val="normaltextrun"/>
          <w:b/>
          <w:bCs/>
          <w:sz w:val="24"/>
          <w:szCs w:val="24"/>
        </w:rPr>
        <w:t>.</w:t>
      </w:r>
    </w:p>
    <w:p w14:paraId="0C23977D" w14:textId="5E8E4FFC" w:rsidR="00362612" w:rsidRPr="00162FF8" w:rsidRDefault="000E437B" w:rsidP="0E887DD2">
      <w:pPr>
        <w:pStyle w:val="Heading2"/>
        <w:keepNext w:val="0"/>
        <w:keepLines w:val="0"/>
        <w:spacing w:line="360" w:lineRule="auto"/>
        <w:rPr>
          <w:color w:val="7030A0"/>
          <w:lang w:val="en-US"/>
        </w:rPr>
      </w:pPr>
      <w:bookmarkStart w:id="15" w:name="_Toc156546029"/>
      <w:r w:rsidRPr="00162FF8">
        <w:rPr>
          <w:color w:val="7030A0"/>
          <w:lang w:val="en-US"/>
        </w:rPr>
        <w:t xml:space="preserve">7.6 </w:t>
      </w:r>
      <w:r w:rsidR="00362612" w:rsidRPr="00162FF8">
        <w:rPr>
          <w:color w:val="7030A0"/>
          <w:lang w:val="en-US"/>
        </w:rPr>
        <w:t>Defining Ability</w:t>
      </w:r>
      <w:bookmarkEnd w:id="15"/>
    </w:p>
    <w:p w14:paraId="6D784DFF" w14:textId="2399574D" w:rsidR="00362612" w:rsidRDefault="00362612" w:rsidP="0E887DD2">
      <w:pPr>
        <w:spacing w:line="360" w:lineRule="auto"/>
        <w:rPr>
          <w:sz w:val="24"/>
          <w:szCs w:val="24"/>
          <w:lang w:val="en-US"/>
        </w:rPr>
      </w:pPr>
      <w:r w:rsidRPr="00362612">
        <w:rPr>
          <w:sz w:val="24"/>
          <w:szCs w:val="24"/>
          <w:lang w:val="en-US"/>
        </w:rPr>
        <w:t xml:space="preserve">Defining ‘ability’ is a delicate art because it necessarily involves the interplay between medical and legal conceptions of cognition. Medical and legal understandings of ability have not always moved in lockstep. As South Australian Supreme Court Chief Justice Chris </w:t>
      </w:r>
      <w:proofErr w:type="spellStart"/>
      <w:r w:rsidRPr="00362612">
        <w:rPr>
          <w:sz w:val="24"/>
          <w:szCs w:val="24"/>
          <w:lang w:val="en-US"/>
        </w:rPr>
        <w:lastRenderedPageBreak/>
        <w:t>Kourakis</w:t>
      </w:r>
      <w:proofErr w:type="spellEnd"/>
      <w:r w:rsidRPr="00362612">
        <w:rPr>
          <w:sz w:val="24"/>
          <w:szCs w:val="24"/>
          <w:lang w:val="en-US"/>
        </w:rPr>
        <w:t xml:space="preserve"> has stated, some ‘common law principles governing the legal effect of mental illness … no longer reflect modern medical knowledge.’</w:t>
      </w:r>
      <w:r w:rsidR="00EB7E9C">
        <w:rPr>
          <w:rStyle w:val="FootnoteReference"/>
          <w:sz w:val="24"/>
          <w:szCs w:val="24"/>
          <w:lang w:val="en-US"/>
        </w:rPr>
        <w:footnoteReference w:id="28"/>
      </w:r>
    </w:p>
    <w:p w14:paraId="069355A5" w14:textId="77777777" w:rsidR="00D20EEA" w:rsidRDefault="00D20EEA" w:rsidP="0E887DD2">
      <w:pPr>
        <w:pStyle w:val="paragraph"/>
        <w:spacing w:before="0" w:after="0" w:afterAutospacing="0" w:line="360" w:lineRule="auto"/>
        <w:jc w:val="both"/>
        <w:textAlignment w:val="baseline"/>
        <w:rPr>
          <w:rFonts w:ascii="Segoe UI" w:hAnsi="Segoe UI" w:cs="Segoe UI"/>
          <w:sz w:val="18"/>
          <w:szCs w:val="18"/>
        </w:rPr>
      </w:pPr>
      <w:r w:rsidRPr="0E887DD2">
        <w:rPr>
          <w:rStyle w:val="normaltextrun"/>
          <w:rFonts w:ascii="Calibri" w:hAnsi="Calibri" w:cs="Calibri"/>
        </w:rPr>
        <w:t>Owing to this, we believe the term ‘general decision-making ability’ can only be meaningful if a clear definition is provided, alongside an acknowledgement that ability fluctuates over time (lucid intervals), settings, and interactions. </w:t>
      </w:r>
      <w:r w:rsidRPr="0E887DD2">
        <w:rPr>
          <w:rStyle w:val="eop"/>
          <w:rFonts w:ascii="Calibri" w:hAnsi="Calibri" w:cs="Calibri"/>
        </w:rPr>
        <w:t> </w:t>
      </w:r>
    </w:p>
    <w:p w14:paraId="5D4944AD" w14:textId="126C051A" w:rsidR="00D20EEA" w:rsidRDefault="00D20EEA" w:rsidP="0E887DD2">
      <w:pPr>
        <w:pStyle w:val="paragraph"/>
        <w:spacing w:before="0" w:after="0" w:afterAutospacing="0" w:line="360" w:lineRule="auto"/>
        <w:jc w:val="both"/>
        <w:textAlignment w:val="baseline"/>
        <w:rPr>
          <w:rFonts w:ascii="Segoe UI" w:hAnsi="Segoe UI" w:cs="Segoe UI"/>
          <w:sz w:val="18"/>
          <w:szCs w:val="18"/>
        </w:rPr>
      </w:pPr>
      <w:r w:rsidRPr="0E887DD2">
        <w:rPr>
          <w:rStyle w:val="normaltextrun"/>
          <w:rFonts w:ascii="Calibri" w:hAnsi="Calibri" w:cs="Calibri"/>
        </w:rPr>
        <w:t xml:space="preserve">Based on a presumption of ability and the right to access appropriate decision-making supports, we believe the need to assess decision-making ability would rarely arise. When it does, we advocate for a fair and transparent approach to the assessment of decision-making ability. Given the significance of such assessments, we believe </w:t>
      </w:r>
      <w:r w:rsidR="00102617" w:rsidRPr="0E887DD2">
        <w:rPr>
          <w:rStyle w:val="normaltextrun"/>
          <w:rFonts w:ascii="Calibri" w:hAnsi="Calibri" w:cs="Calibri"/>
        </w:rPr>
        <w:t xml:space="preserve">that on the rare occasion that an assessment is required, it must be </w:t>
      </w:r>
      <w:r w:rsidR="00D82250" w:rsidRPr="0E887DD2">
        <w:rPr>
          <w:rStyle w:val="normaltextrun"/>
          <w:rFonts w:ascii="Calibri" w:hAnsi="Calibri" w:cs="Calibri"/>
        </w:rPr>
        <w:t>a full, thorough assessment</w:t>
      </w:r>
      <w:r w:rsidR="007500DA" w:rsidRPr="0E887DD2">
        <w:rPr>
          <w:rStyle w:val="normaltextrun"/>
          <w:rFonts w:ascii="Calibri" w:hAnsi="Calibri" w:cs="Calibri"/>
        </w:rPr>
        <w:t xml:space="preserve"> that</w:t>
      </w:r>
      <w:r w:rsidR="00D82250" w:rsidRPr="0E887DD2">
        <w:rPr>
          <w:rStyle w:val="normaltextrun"/>
          <w:rFonts w:ascii="Calibri" w:hAnsi="Calibri" w:cs="Calibri"/>
        </w:rPr>
        <w:t xml:space="preserve"> </w:t>
      </w:r>
      <w:r w:rsidRPr="0E887DD2">
        <w:rPr>
          <w:rStyle w:val="normaltextrun"/>
          <w:rFonts w:ascii="Calibri" w:hAnsi="Calibri" w:cs="Calibri"/>
        </w:rPr>
        <w:t xml:space="preserve">leaves no room for outdated assumptions. As Kenneth Schulman </w:t>
      </w:r>
      <w:r w:rsidRPr="0E887DD2">
        <w:rPr>
          <w:rStyle w:val="normaltextrun"/>
          <w:rFonts w:ascii="Calibri" w:hAnsi="Calibri" w:cs="Calibri"/>
          <w:i/>
          <w:iCs/>
        </w:rPr>
        <w:t xml:space="preserve">et al </w:t>
      </w:r>
      <w:r w:rsidRPr="0E887DD2">
        <w:rPr>
          <w:rStyle w:val="normaltextrun"/>
          <w:rFonts w:ascii="Calibri" w:hAnsi="Calibri" w:cs="Calibri"/>
        </w:rPr>
        <w:t xml:space="preserve">wrote in the </w:t>
      </w:r>
      <w:r w:rsidRPr="0E887DD2">
        <w:rPr>
          <w:rStyle w:val="normaltextrun"/>
          <w:rFonts w:ascii="Calibri" w:hAnsi="Calibri" w:cs="Calibri"/>
          <w:i/>
          <w:iCs/>
        </w:rPr>
        <w:t>Canadian Bar Review</w:t>
      </w:r>
      <w:r w:rsidRPr="0E887DD2">
        <w:rPr>
          <w:rStyle w:val="normaltextrun"/>
          <w:rFonts w:ascii="Calibri" w:hAnsi="Calibri" w:cs="Calibri"/>
        </w:rPr>
        <w:t>: </w:t>
      </w:r>
      <w:r w:rsidRPr="0E887DD2">
        <w:rPr>
          <w:rStyle w:val="eop"/>
          <w:rFonts w:ascii="Calibri" w:hAnsi="Calibri" w:cs="Calibri"/>
        </w:rPr>
        <w:t> </w:t>
      </w:r>
    </w:p>
    <w:p w14:paraId="5EDC815B" w14:textId="42420D81" w:rsidR="00D20EEA" w:rsidRDefault="00D20EEA" w:rsidP="0E887DD2">
      <w:pPr>
        <w:pStyle w:val="paragraph"/>
        <w:spacing w:before="0" w:after="0" w:afterAutospacing="0" w:line="360" w:lineRule="auto"/>
        <w:ind w:left="720" w:right="720"/>
        <w:jc w:val="both"/>
        <w:textAlignment w:val="baseline"/>
        <w:rPr>
          <w:rFonts w:ascii="Segoe UI" w:hAnsi="Segoe UI" w:cs="Segoe UI"/>
          <w:sz w:val="18"/>
          <w:szCs w:val="18"/>
        </w:rPr>
      </w:pPr>
      <w:r>
        <w:rPr>
          <w:rStyle w:val="normaltextrun"/>
          <w:rFonts w:ascii="Calibri" w:hAnsi="Calibri" w:cs="Calibri"/>
        </w:rPr>
        <w:t xml:space="preserve">[b]y updating the wording and incorporating medical and neuropsychological advances, the legal community would ensure greater clarity and precision </w:t>
      </w:r>
      <w:proofErr w:type="gramStart"/>
      <w:r>
        <w:rPr>
          <w:rStyle w:val="normaltextrun"/>
          <w:rFonts w:ascii="Calibri" w:hAnsi="Calibri" w:cs="Calibri"/>
        </w:rPr>
        <w:t>with regard to</w:t>
      </w:r>
      <w:proofErr w:type="gramEnd"/>
      <w:r>
        <w:rPr>
          <w:rStyle w:val="normaltextrun"/>
          <w:rFonts w:ascii="Calibri" w:hAnsi="Calibri" w:cs="Calibri"/>
        </w:rPr>
        <w:t xml:space="preserve"> the test for testamentary capacity. Disciplined legal reasoning requires precision, and such precision would also assist experts in drafting more accurate and useful capacity assessments when needed in disputed cases.</w:t>
      </w:r>
      <w:r w:rsidR="00A04B30">
        <w:rPr>
          <w:rStyle w:val="FootnoteReference"/>
          <w:rFonts w:ascii="Calibri" w:hAnsi="Calibri" w:cs="Calibri"/>
        </w:rPr>
        <w:footnoteReference w:id="29"/>
      </w:r>
    </w:p>
    <w:p w14:paraId="0A1496AD" w14:textId="68C1C29B" w:rsidR="00F57231" w:rsidRPr="003E6EEA" w:rsidRDefault="005C426A" w:rsidP="48893F7C">
      <w:pPr>
        <w:spacing w:line="360" w:lineRule="auto"/>
        <w:rPr>
          <w:rStyle w:val="normaltextrun"/>
          <w:rFonts w:ascii="Calibri" w:hAnsi="Calibri" w:cs="Calibri"/>
          <w:color w:val="000000" w:themeColor="text1"/>
          <w:sz w:val="24"/>
          <w:szCs w:val="24"/>
        </w:rPr>
      </w:pPr>
      <w:r w:rsidRPr="005C426A">
        <w:rPr>
          <w:rStyle w:val="normaltextrun"/>
          <w:rFonts w:ascii="Calibri" w:hAnsi="Calibri" w:cs="Calibri"/>
          <w:color w:val="000000"/>
          <w:sz w:val="24"/>
          <w:szCs w:val="24"/>
          <w:shd w:val="clear" w:color="auto" w:fill="FFFFFF"/>
        </w:rPr>
        <w:t>Therefore, we would recommend that the general principles clearly state who can challenge a person’s decision-making ability, that a full assessment is always undertaken where level of ability is questioned, and that it is done at a time and in an environment that will result in the most accurate and transparent results.</w:t>
      </w:r>
      <w:r w:rsidR="00A07DBA">
        <w:rPr>
          <w:rStyle w:val="normaltextrun"/>
          <w:rFonts w:ascii="Calibri" w:hAnsi="Calibri" w:cs="Calibri"/>
          <w:color w:val="000000"/>
          <w:sz w:val="24"/>
          <w:szCs w:val="24"/>
          <w:shd w:val="clear" w:color="auto" w:fill="FFFFFF"/>
        </w:rPr>
        <w:t xml:space="preserve"> A</w:t>
      </w:r>
      <w:r w:rsidR="00A07DBA" w:rsidRPr="00A07DBA">
        <w:rPr>
          <w:rStyle w:val="normaltextrun"/>
          <w:rFonts w:ascii="Calibri" w:hAnsi="Calibri" w:cs="Calibri"/>
          <w:color w:val="000000"/>
          <w:sz w:val="24"/>
          <w:szCs w:val="24"/>
          <w:shd w:val="clear" w:color="auto" w:fill="FFFFFF"/>
        </w:rPr>
        <w:t xml:space="preserve"> general principles </w:t>
      </w:r>
      <w:r w:rsidR="00A07DBA">
        <w:rPr>
          <w:rStyle w:val="normaltextrun"/>
          <w:rFonts w:ascii="Calibri" w:hAnsi="Calibri" w:cs="Calibri"/>
          <w:color w:val="000000"/>
          <w:sz w:val="24"/>
          <w:szCs w:val="24"/>
          <w:shd w:val="clear" w:color="auto" w:fill="FFFFFF"/>
        </w:rPr>
        <w:t xml:space="preserve">section should also </w:t>
      </w:r>
      <w:r w:rsidR="001A3934">
        <w:rPr>
          <w:rStyle w:val="normaltextrun"/>
          <w:rFonts w:ascii="Calibri" w:hAnsi="Calibri" w:cs="Calibri"/>
          <w:color w:val="000000"/>
          <w:sz w:val="24"/>
          <w:szCs w:val="24"/>
          <w:shd w:val="clear" w:color="auto" w:fill="FFFFFF"/>
        </w:rPr>
        <w:t>recognise</w:t>
      </w:r>
      <w:r w:rsidR="001A3934" w:rsidRPr="00A07DBA">
        <w:rPr>
          <w:rStyle w:val="normaltextrun"/>
          <w:rFonts w:ascii="Calibri" w:hAnsi="Calibri" w:cs="Calibri"/>
          <w:color w:val="000000"/>
          <w:sz w:val="24"/>
          <w:szCs w:val="24"/>
          <w:shd w:val="clear" w:color="auto" w:fill="FFFFFF"/>
        </w:rPr>
        <w:t xml:space="preserve"> </w:t>
      </w:r>
      <w:r w:rsidR="00A07DBA" w:rsidRPr="00A07DBA">
        <w:rPr>
          <w:rStyle w:val="normaltextrun"/>
          <w:rFonts w:ascii="Calibri" w:hAnsi="Calibri" w:cs="Calibri"/>
          <w:color w:val="000000"/>
          <w:sz w:val="24"/>
          <w:szCs w:val="24"/>
          <w:shd w:val="clear" w:color="auto" w:fill="FFFFFF"/>
        </w:rPr>
        <w:t>the fluctuating nature of ‘ability’ and the need for flexibility in providing appropriate decision-making supports. </w:t>
      </w:r>
    </w:p>
    <w:p w14:paraId="52E5261D" w14:textId="2FC123CD" w:rsidR="00F57231" w:rsidRPr="00162FF8" w:rsidRDefault="00F57231" w:rsidP="0E887DD2">
      <w:pPr>
        <w:spacing w:line="360" w:lineRule="auto"/>
        <w:rPr>
          <w:rStyle w:val="normaltextrun"/>
          <w:b/>
          <w:bCs/>
          <w:sz w:val="24"/>
          <w:szCs w:val="24"/>
        </w:rPr>
      </w:pPr>
      <w:r w:rsidRPr="00162FF8">
        <w:rPr>
          <w:rStyle w:val="normaltextrun"/>
          <w:b/>
          <w:bCs/>
          <w:color w:val="522E91"/>
          <w:sz w:val="24"/>
          <w:szCs w:val="24"/>
        </w:rPr>
        <w:t>Recommendation 1</w:t>
      </w:r>
      <w:r w:rsidR="00C94910">
        <w:rPr>
          <w:rStyle w:val="normaltextrun"/>
          <w:b/>
          <w:bCs/>
          <w:color w:val="522E91"/>
          <w:sz w:val="24"/>
          <w:szCs w:val="24"/>
        </w:rPr>
        <w:t>5</w:t>
      </w:r>
      <w:r w:rsidRPr="00162FF8">
        <w:rPr>
          <w:rStyle w:val="normaltextrun"/>
          <w:b/>
          <w:bCs/>
          <w:color w:val="522E91"/>
          <w:sz w:val="24"/>
          <w:szCs w:val="24"/>
        </w:rPr>
        <w:t>:</w:t>
      </w:r>
      <w:r w:rsidRPr="00162FF8">
        <w:rPr>
          <w:rStyle w:val="normaltextrun"/>
          <w:b/>
          <w:bCs/>
          <w:color w:val="7030A0"/>
          <w:sz w:val="24"/>
          <w:szCs w:val="24"/>
        </w:rPr>
        <w:t> </w:t>
      </w:r>
      <w:r w:rsidRPr="00162FF8">
        <w:rPr>
          <w:rStyle w:val="normaltextrun"/>
          <w:b/>
          <w:bCs/>
          <w:sz w:val="24"/>
          <w:szCs w:val="24"/>
        </w:rPr>
        <w:t xml:space="preserve">The Committee </w:t>
      </w:r>
      <w:r w:rsidR="002E60B7" w:rsidRPr="00162FF8">
        <w:rPr>
          <w:rStyle w:val="normaltextrun"/>
          <w:b/>
          <w:bCs/>
          <w:sz w:val="24"/>
          <w:szCs w:val="24"/>
        </w:rPr>
        <w:t xml:space="preserve">should </w:t>
      </w:r>
      <w:r w:rsidRPr="00162FF8">
        <w:rPr>
          <w:rStyle w:val="normaltextrun"/>
          <w:b/>
          <w:bCs/>
          <w:sz w:val="24"/>
          <w:szCs w:val="24"/>
        </w:rPr>
        <w:t xml:space="preserve">recommend clause 67 of the Administrative Review Tribunal Bill 2023 be amended to </w:t>
      </w:r>
      <w:r w:rsidR="00D71769" w:rsidRPr="00162FF8">
        <w:rPr>
          <w:rStyle w:val="normaltextrun"/>
          <w:b/>
          <w:bCs/>
          <w:sz w:val="24"/>
          <w:szCs w:val="24"/>
        </w:rPr>
        <w:t>state</w:t>
      </w:r>
      <w:r w:rsidR="00F53EF2" w:rsidRPr="00162FF8">
        <w:rPr>
          <w:rStyle w:val="normaltextrun"/>
          <w:b/>
          <w:bCs/>
          <w:sz w:val="24"/>
          <w:szCs w:val="24"/>
        </w:rPr>
        <w:t xml:space="preserve"> that </w:t>
      </w:r>
      <w:r w:rsidR="009D3F4F" w:rsidRPr="00162FF8">
        <w:rPr>
          <w:rStyle w:val="normaltextrun"/>
          <w:b/>
          <w:bCs/>
          <w:sz w:val="24"/>
          <w:szCs w:val="24"/>
        </w:rPr>
        <w:t xml:space="preserve">when an assessment of decision-making ability is required, </w:t>
      </w:r>
      <w:r w:rsidR="00D71769" w:rsidRPr="00162FF8">
        <w:rPr>
          <w:rStyle w:val="normaltextrun"/>
          <w:b/>
          <w:bCs/>
          <w:sz w:val="24"/>
          <w:szCs w:val="24"/>
        </w:rPr>
        <w:t>this must be</w:t>
      </w:r>
      <w:r w:rsidR="00F53EF2" w:rsidRPr="00162FF8">
        <w:rPr>
          <w:rStyle w:val="normaltextrun"/>
          <w:b/>
          <w:bCs/>
          <w:sz w:val="24"/>
          <w:szCs w:val="24"/>
        </w:rPr>
        <w:t xml:space="preserve"> a full assessment</w:t>
      </w:r>
      <w:r w:rsidR="00FB1EEC" w:rsidRPr="00162FF8">
        <w:rPr>
          <w:rStyle w:val="normaltextrun"/>
          <w:b/>
          <w:bCs/>
          <w:sz w:val="24"/>
          <w:szCs w:val="24"/>
        </w:rPr>
        <w:t xml:space="preserve"> </w:t>
      </w:r>
      <w:r w:rsidR="00204165" w:rsidRPr="00162FF8">
        <w:rPr>
          <w:rStyle w:val="normaltextrun"/>
          <w:b/>
          <w:bCs/>
          <w:sz w:val="24"/>
          <w:szCs w:val="24"/>
        </w:rPr>
        <w:t xml:space="preserve">conducted at a time and in an </w:t>
      </w:r>
      <w:r w:rsidR="00204165" w:rsidRPr="00162FF8">
        <w:rPr>
          <w:rStyle w:val="normaltextrun"/>
          <w:b/>
          <w:bCs/>
          <w:sz w:val="24"/>
          <w:szCs w:val="24"/>
        </w:rPr>
        <w:lastRenderedPageBreak/>
        <w:t>environment that w</w:t>
      </w:r>
      <w:r w:rsidR="00B30CE5" w:rsidRPr="00162FF8">
        <w:rPr>
          <w:rStyle w:val="normaltextrun"/>
          <w:b/>
          <w:bCs/>
          <w:sz w:val="24"/>
          <w:szCs w:val="24"/>
        </w:rPr>
        <w:t xml:space="preserve">ill result in the most </w:t>
      </w:r>
      <w:r w:rsidR="00FB1EEC" w:rsidRPr="00162FF8">
        <w:rPr>
          <w:rStyle w:val="normaltextrun"/>
          <w:b/>
          <w:bCs/>
          <w:sz w:val="24"/>
          <w:szCs w:val="24"/>
        </w:rPr>
        <w:t>accurate and transparent result</w:t>
      </w:r>
      <w:r w:rsidR="00373CA0" w:rsidRPr="00162FF8">
        <w:rPr>
          <w:rStyle w:val="normaltextrun"/>
          <w:b/>
          <w:bCs/>
          <w:sz w:val="24"/>
          <w:szCs w:val="24"/>
        </w:rPr>
        <w:t xml:space="preserve"> before a litigation supporter is appointed</w:t>
      </w:r>
      <w:r w:rsidRPr="00162FF8">
        <w:rPr>
          <w:rStyle w:val="normaltextrun"/>
          <w:b/>
          <w:bCs/>
          <w:sz w:val="24"/>
          <w:szCs w:val="24"/>
        </w:rPr>
        <w:t>.</w:t>
      </w:r>
    </w:p>
    <w:p w14:paraId="7F39FF69" w14:textId="20657E28" w:rsidR="00150BD4" w:rsidRPr="00162FF8" w:rsidRDefault="00373CA0" w:rsidP="0E887DD2">
      <w:pPr>
        <w:spacing w:line="360" w:lineRule="auto"/>
        <w:rPr>
          <w:rStyle w:val="normaltextrun"/>
          <w:color w:val="000000"/>
          <w:sz w:val="24"/>
          <w:szCs w:val="24"/>
        </w:rPr>
      </w:pPr>
      <w:r w:rsidRPr="00162FF8">
        <w:rPr>
          <w:rStyle w:val="normaltextrun"/>
          <w:b/>
          <w:bCs/>
          <w:color w:val="522E91"/>
          <w:sz w:val="24"/>
          <w:szCs w:val="24"/>
        </w:rPr>
        <w:t>Recommendation 1</w:t>
      </w:r>
      <w:r w:rsidR="00C94910">
        <w:rPr>
          <w:rStyle w:val="normaltextrun"/>
          <w:b/>
          <w:bCs/>
          <w:color w:val="522E91"/>
          <w:sz w:val="24"/>
          <w:szCs w:val="24"/>
        </w:rPr>
        <w:t>6</w:t>
      </w:r>
      <w:r w:rsidRPr="00162FF8">
        <w:rPr>
          <w:rStyle w:val="normaltextrun"/>
          <w:b/>
          <w:bCs/>
          <w:color w:val="522E91"/>
          <w:sz w:val="24"/>
          <w:szCs w:val="24"/>
        </w:rPr>
        <w:t>:</w:t>
      </w:r>
      <w:r w:rsidRPr="00162FF8">
        <w:rPr>
          <w:rStyle w:val="normaltextrun"/>
          <w:b/>
          <w:bCs/>
          <w:color w:val="7030A0"/>
          <w:sz w:val="24"/>
          <w:szCs w:val="24"/>
        </w:rPr>
        <w:t> </w:t>
      </w:r>
      <w:r w:rsidRPr="00162FF8">
        <w:rPr>
          <w:rStyle w:val="normaltextrun"/>
          <w:b/>
          <w:bCs/>
          <w:sz w:val="24"/>
          <w:szCs w:val="24"/>
        </w:rPr>
        <w:t xml:space="preserve">The Committee </w:t>
      </w:r>
      <w:r w:rsidR="005A3500" w:rsidRPr="00162FF8">
        <w:rPr>
          <w:rStyle w:val="normaltextrun"/>
          <w:b/>
          <w:bCs/>
          <w:sz w:val="24"/>
          <w:szCs w:val="24"/>
        </w:rPr>
        <w:t xml:space="preserve">should </w:t>
      </w:r>
      <w:r w:rsidRPr="00162FF8">
        <w:rPr>
          <w:rStyle w:val="normaltextrun"/>
          <w:b/>
          <w:bCs/>
          <w:sz w:val="24"/>
          <w:szCs w:val="24"/>
        </w:rPr>
        <w:t>recommend clause 67 of the Administrative Review Tribunal Bill 2023 be amended to</w:t>
      </w:r>
      <w:r w:rsidR="00A3588A" w:rsidRPr="00162FF8">
        <w:rPr>
          <w:rStyle w:val="normaltextrun"/>
          <w:b/>
          <w:bCs/>
          <w:sz w:val="24"/>
          <w:szCs w:val="24"/>
        </w:rPr>
        <w:t xml:space="preserve"> recognise that decision</w:t>
      </w:r>
      <w:r w:rsidR="005A3500" w:rsidRPr="00162FF8">
        <w:rPr>
          <w:rStyle w:val="normaltextrun"/>
          <w:b/>
          <w:bCs/>
          <w:sz w:val="24"/>
          <w:szCs w:val="24"/>
        </w:rPr>
        <w:t>-</w:t>
      </w:r>
      <w:r w:rsidR="00A3588A" w:rsidRPr="00162FF8">
        <w:rPr>
          <w:rStyle w:val="normaltextrun"/>
          <w:b/>
          <w:bCs/>
          <w:sz w:val="24"/>
          <w:szCs w:val="24"/>
        </w:rPr>
        <w:t xml:space="preserve">making ability </w:t>
      </w:r>
      <w:proofErr w:type="gramStart"/>
      <w:r w:rsidR="00931326" w:rsidRPr="00162FF8">
        <w:rPr>
          <w:rStyle w:val="normaltextrun"/>
          <w:b/>
          <w:bCs/>
          <w:sz w:val="24"/>
          <w:szCs w:val="24"/>
        </w:rPr>
        <w:t>fluctuates</w:t>
      </w:r>
      <w:proofErr w:type="gramEnd"/>
      <w:r w:rsidR="00931326" w:rsidRPr="00162FF8">
        <w:rPr>
          <w:rStyle w:val="normaltextrun"/>
          <w:b/>
          <w:bCs/>
          <w:sz w:val="24"/>
          <w:szCs w:val="24"/>
        </w:rPr>
        <w:t xml:space="preserve"> and that flexibility </w:t>
      </w:r>
      <w:r w:rsidR="0073415B" w:rsidRPr="00162FF8">
        <w:rPr>
          <w:rStyle w:val="normaltextrun"/>
          <w:b/>
          <w:bCs/>
          <w:sz w:val="24"/>
          <w:szCs w:val="24"/>
        </w:rPr>
        <w:t xml:space="preserve">is necessary </w:t>
      </w:r>
      <w:r w:rsidR="003A0D20" w:rsidRPr="00162FF8">
        <w:rPr>
          <w:rStyle w:val="normaltextrun"/>
          <w:b/>
          <w:bCs/>
          <w:sz w:val="24"/>
          <w:szCs w:val="24"/>
        </w:rPr>
        <w:t>to accommodate</w:t>
      </w:r>
      <w:r w:rsidR="005D49B4" w:rsidRPr="00162FF8">
        <w:rPr>
          <w:rStyle w:val="normaltextrun"/>
          <w:b/>
          <w:bCs/>
          <w:sz w:val="24"/>
          <w:szCs w:val="24"/>
        </w:rPr>
        <w:t xml:space="preserve"> provision of</w:t>
      </w:r>
      <w:r w:rsidR="003A0D20" w:rsidRPr="00162FF8">
        <w:rPr>
          <w:rStyle w:val="normaltextrun"/>
          <w:b/>
          <w:bCs/>
          <w:sz w:val="24"/>
          <w:szCs w:val="24"/>
        </w:rPr>
        <w:t xml:space="preserve"> varying </w:t>
      </w:r>
      <w:r w:rsidR="005D49B4" w:rsidRPr="00162FF8">
        <w:rPr>
          <w:rStyle w:val="normaltextrun"/>
          <w:b/>
          <w:bCs/>
          <w:sz w:val="24"/>
          <w:szCs w:val="24"/>
        </w:rPr>
        <w:t>support needs</w:t>
      </w:r>
      <w:r w:rsidRPr="00162FF8">
        <w:rPr>
          <w:rStyle w:val="normaltextrun"/>
          <w:b/>
          <w:bCs/>
          <w:sz w:val="24"/>
          <w:szCs w:val="24"/>
        </w:rPr>
        <w:t>.</w:t>
      </w:r>
    </w:p>
    <w:p w14:paraId="7B74FB09" w14:textId="0D427133" w:rsidR="00027C3C" w:rsidRPr="00E70A2A" w:rsidRDefault="000E437B" w:rsidP="0E887DD2">
      <w:pPr>
        <w:pStyle w:val="Heading2"/>
        <w:keepNext w:val="0"/>
        <w:keepLines w:val="0"/>
        <w:spacing w:line="360" w:lineRule="auto"/>
        <w:rPr>
          <w:rStyle w:val="normaltextrun"/>
          <w:rFonts w:ascii="Calibri" w:hAnsi="Calibri" w:cs="Calibri"/>
          <w:color w:val="7030A0"/>
          <w:shd w:val="clear" w:color="auto" w:fill="FFFFFF"/>
        </w:rPr>
      </w:pPr>
      <w:bookmarkStart w:id="16" w:name="_Toc156546030"/>
      <w:r>
        <w:rPr>
          <w:rStyle w:val="normaltextrun"/>
          <w:rFonts w:ascii="Calibri" w:hAnsi="Calibri" w:cs="Calibri"/>
          <w:color w:val="7030A0"/>
          <w:shd w:val="clear" w:color="auto" w:fill="FFFFFF"/>
        </w:rPr>
        <w:t xml:space="preserve">7.7 </w:t>
      </w:r>
      <w:r w:rsidR="00577692" w:rsidRPr="00E70A2A">
        <w:rPr>
          <w:rStyle w:val="normaltextrun"/>
          <w:rFonts w:ascii="Calibri" w:hAnsi="Calibri" w:cs="Calibri"/>
          <w:color w:val="7030A0"/>
          <w:shd w:val="clear" w:color="auto" w:fill="FFFFFF"/>
        </w:rPr>
        <w:t>Last Resort</w:t>
      </w:r>
      <w:bookmarkEnd w:id="16"/>
    </w:p>
    <w:p w14:paraId="4997779E" w14:textId="2175C923" w:rsidR="005D49B4" w:rsidRPr="00162FF8" w:rsidRDefault="00027C3C" w:rsidP="0E887DD2">
      <w:pPr>
        <w:spacing w:line="360" w:lineRule="auto"/>
        <w:rPr>
          <w:rStyle w:val="normaltextrun"/>
          <w:rFonts w:ascii="Calibri" w:hAnsi="Calibri" w:cs="Calibri"/>
          <w:color w:val="000000"/>
          <w:sz w:val="24"/>
          <w:szCs w:val="24"/>
          <w:shd w:val="clear" w:color="auto" w:fill="FFFFFF"/>
        </w:rPr>
      </w:pPr>
      <w:r w:rsidRPr="00027C3C">
        <w:rPr>
          <w:rStyle w:val="normaltextrun"/>
          <w:rFonts w:ascii="Calibri" w:hAnsi="Calibri" w:cs="Calibri"/>
          <w:color w:val="000000"/>
          <w:sz w:val="24"/>
          <w:szCs w:val="24"/>
          <w:shd w:val="clear" w:color="auto" w:fill="FFFFFF"/>
        </w:rPr>
        <w:t>W</w:t>
      </w:r>
      <w:r w:rsidR="00577692">
        <w:rPr>
          <w:rStyle w:val="normaltextrun"/>
          <w:rFonts w:ascii="Calibri" w:hAnsi="Calibri" w:cs="Calibri"/>
          <w:color w:val="000000"/>
          <w:sz w:val="24"/>
          <w:szCs w:val="24"/>
          <w:shd w:val="clear" w:color="auto" w:fill="FFFFFF"/>
        </w:rPr>
        <w:t>hile we acknowledge there may be extreme or exceptional circumstances where it is not possible to give effect to a party’s will and preferences, we are</w:t>
      </w:r>
      <w:r w:rsidRPr="00027C3C">
        <w:rPr>
          <w:rStyle w:val="normaltextrun"/>
          <w:rFonts w:ascii="Calibri" w:hAnsi="Calibri" w:cs="Calibri"/>
          <w:color w:val="000000"/>
          <w:sz w:val="24"/>
          <w:szCs w:val="24"/>
          <w:shd w:val="clear" w:color="auto" w:fill="FFFFFF"/>
        </w:rPr>
        <w:t xml:space="preserve"> very concerned by the proposed </w:t>
      </w:r>
      <w:r w:rsidR="00577692">
        <w:rPr>
          <w:rStyle w:val="normaltextrun"/>
          <w:rFonts w:ascii="Calibri" w:hAnsi="Calibri" w:cs="Calibri"/>
          <w:color w:val="000000"/>
          <w:sz w:val="24"/>
          <w:szCs w:val="24"/>
          <w:shd w:val="clear" w:color="auto" w:fill="FFFFFF"/>
        </w:rPr>
        <w:t xml:space="preserve">phrasing of exceptions to supported decision making under clause 67 sub-clause 7) and 8). </w:t>
      </w:r>
      <w:r w:rsidRPr="00027C3C">
        <w:rPr>
          <w:rStyle w:val="normaltextrun"/>
          <w:rFonts w:ascii="Calibri" w:hAnsi="Calibri" w:cs="Calibri"/>
          <w:color w:val="000000"/>
          <w:sz w:val="24"/>
          <w:szCs w:val="24"/>
          <w:shd w:val="clear" w:color="auto" w:fill="FFFFFF"/>
        </w:rPr>
        <w:t xml:space="preserve">Too often </w:t>
      </w:r>
      <w:r w:rsidR="00B31659">
        <w:rPr>
          <w:rStyle w:val="normaltextrun"/>
          <w:rFonts w:ascii="Calibri" w:hAnsi="Calibri" w:cs="Calibri"/>
          <w:color w:val="000000"/>
          <w:sz w:val="24"/>
          <w:szCs w:val="24"/>
          <w:shd w:val="clear" w:color="auto" w:fill="FFFFFF"/>
        </w:rPr>
        <w:t xml:space="preserve">the </w:t>
      </w:r>
      <w:r w:rsidR="00613B72">
        <w:rPr>
          <w:rStyle w:val="normaltextrun"/>
          <w:rFonts w:ascii="Calibri" w:hAnsi="Calibri" w:cs="Calibri"/>
          <w:color w:val="000000"/>
          <w:sz w:val="24"/>
          <w:szCs w:val="24"/>
          <w:shd w:val="clear" w:color="auto" w:fill="FFFFFF"/>
        </w:rPr>
        <w:t>scope</w:t>
      </w:r>
      <w:r w:rsidR="00B31659">
        <w:rPr>
          <w:rStyle w:val="normaltextrun"/>
          <w:rFonts w:ascii="Calibri" w:hAnsi="Calibri" w:cs="Calibri"/>
          <w:color w:val="000000"/>
          <w:sz w:val="24"/>
          <w:szCs w:val="24"/>
          <w:shd w:val="clear" w:color="auto" w:fill="FFFFFF"/>
        </w:rPr>
        <w:t xml:space="preserve"> of what constitutes a serious risk is </w:t>
      </w:r>
      <w:r w:rsidR="00E51B35">
        <w:rPr>
          <w:rStyle w:val="normaltextrun"/>
          <w:rFonts w:ascii="Calibri" w:hAnsi="Calibri" w:cs="Calibri"/>
          <w:color w:val="000000"/>
          <w:sz w:val="24"/>
          <w:szCs w:val="24"/>
          <w:shd w:val="clear" w:color="auto" w:fill="FFFFFF"/>
        </w:rPr>
        <w:t>drawn</w:t>
      </w:r>
      <w:r w:rsidR="00613B72">
        <w:rPr>
          <w:rStyle w:val="normaltextrun"/>
          <w:rFonts w:ascii="Calibri" w:hAnsi="Calibri" w:cs="Calibri"/>
          <w:color w:val="000000"/>
          <w:sz w:val="24"/>
          <w:szCs w:val="24"/>
          <w:shd w:val="clear" w:color="auto" w:fill="FFFFFF"/>
        </w:rPr>
        <w:t xml:space="preserve"> too broadly</w:t>
      </w:r>
      <w:r w:rsidR="00AC35B2">
        <w:rPr>
          <w:rStyle w:val="normaltextrun"/>
          <w:rFonts w:ascii="Calibri" w:hAnsi="Calibri" w:cs="Calibri"/>
          <w:color w:val="000000"/>
          <w:sz w:val="24"/>
          <w:szCs w:val="24"/>
          <w:shd w:val="clear" w:color="auto" w:fill="FFFFFF"/>
        </w:rPr>
        <w:t xml:space="preserve"> and too little time</w:t>
      </w:r>
      <w:r w:rsidR="00596491">
        <w:rPr>
          <w:rStyle w:val="normaltextrun"/>
          <w:rFonts w:ascii="Calibri" w:hAnsi="Calibri" w:cs="Calibri"/>
          <w:color w:val="000000"/>
          <w:sz w:val="24"/>
          <w:szCs w:val="24"/>
          <w:shd w:val="clear" w:color="auto" w:fill="FFFFFF"/>
        </w:rPr>
        <w:t>, effort and support is provided to ascertain a person’s will and preferences</w:t>
      </w:r>
      <w:r w:rsidRPr="00027C3C">
        <w:rPr>
          <w:rStyle w:val="normaltextrun"/>
          <w:rFonts w:ascii="Calibri" w:hAnsi="Calibri" w:cs="Calibri"/>
          <w:color w:val="000000"/>
          <w:sz w:val="24"/>
          <w:szCs w:val="24"/>
          <w:shd w:val="clear" w:color="auto" w:fill="FFFFFF"/>
        </w:rPr>
        <w:t>. As such, we believe that the Disability Royal Commission’s Recommendation 6.9</w:t>
      </w:r>
      <w:r w:rsidR="00CE09CC">
        <w:rPr>
          <w:rStyle w:val="FootnoteReference"/>
          <w:rFonts w:ascii="Calibri" w:hAnsi="Calibri" w:cs="Calibri"/>
          <w:color w:val="000000"/>
          <w:sz w:val="24"/>
          <w:szCs w:val="24"/>
          <w:shd w:val="clear" w:color="auto" w:fill="FFFFFF"/>
        </w:rPr>
        <w:footnoteReference w:id="30"/>
      </w:r>
      <w:r w:rsidRPr="00027C3C">
        <w:rPr>
          <w:rStyle w:val="normaltextrun"/>
          <w:rFonts w:ascii="Calibri" w:hAnsi="Calibri" w:cs="Calibri"/>
          <w:color w:val="000000"/>
          <w:sz w:val="24"/>
          <w:szCs w:val="24"/>
          <w:shd w:val="clear" w:color="auto" w:fill="FFFFFF"/>
        </w:rPr>
        <w:t>, which specifies that representatives be appointed only as a last resort</w:t>
      </w:r>
      <w:r w:rsidR="00C86643">
        <w:rPr>
          <w:rStyle w:val="normaltextrun"/>
          <w:rFonts w:ascii="Calibri" w:hAnsi="Calibri" w:cs="Calibri"/>
          <w:color w:val="000000"/>
          <w:sz w:val="24"/>
          <w:szCs w:val="24"/>
          <w:shd w:val="clear" w:color="auto" w:fill="FFFFFF"/>
        </w:rPr>
        <w:t xml:space="preserve">, is a preferable </w:t>
      </w:r>
      <w:r w:rsidR="00FF6C72">
        <w:rPr>
          <w:rStyle w:val="normaltextrun"/>
          <w:rFonts w:ascii="Calibri" w:hAnsi="Calibri" w:cs="Calibri"/>
          <w:color w:val="000000"/>
          <w:sz w:val="24"/>
          <w:szCs w:val="24"/>
          <w:shd w:val="clear" w:color="auto" w:fill="FFFFFF"/>
        </w:rPr>
        <w:t>alternative</w:t>
      </w:r>
      <w:r w:rsidR="005C396A">
        <w:rPr>
          <w:rStyle w:val="normaltextrun"/>
          <w:rFonts w:ascii="Calibri" w:hAnsi="Calibri" w:cs="Calibri"/>
          <w:color w:val="000000"/>
          <w:sz w:val="24"/>
          <w:szCs w:val="24"/>
          <w:shd w:val="clear" w:color="auto" w:fill="FFFFFF"/>
        </w:rPr>
        <w:t xml:space="preserve"> to </w:t>
      </w:r>
      <w:r w:rsidR="007D1CF6">
        <w:rPr>
          <w:rStyle w:val="normaltextrun"/>
          <w:rFonts w:ascii="Calibri" w:hAnsi="Calibri" w:cs="Calibri"/>
          <w:color w:val="000000"/>
          <w:sz w:val="24"/>
          <w:szCs w:val="24"/>
          <w:shd w:val="clear" w:color="auto" w:fill="FFFFFF"/>
        </w:rPr>
        <w:t>sub-clauses 7 and 8</w:t>
      </w:r>
      <w:r w:rsidR="00FF6C72">
        <w:rPr>
          <w:rStyle w:val="normaltextrun"/>
          <w:rFonts w:ascii="Calibri" w:hAnsi="Calibri" w:cs="Calibri"/>
          <w:color w:val="000000"/>
          <w:sz w:val="24"/>
          <w:szCs w:val="24"/>
          <w:shd w:val="clear" w:color="auto" w:fill="FFFFFF"/>
        </w:rPr>
        <w:t xml:space="preserve">. </w:t>
      </w:r>
    </w:p>
    <w:p w14:paraId="21F4C3E8" w14:textId="184167A8" w:rsidR="005D49B4" w:rsidRPr="00162FF8" w:rsidRDefault="005D49B4" w:rsidP="0E887DD2">
      <w:pPr>
        <w:spacing w:line="360" w:lineRule="auto"/>
        <w:rPr>
          <w:rStyle w:val="normaltextrun"/>
          <w:color w:val="000000"/>
          <w:sz w:val="24"/>
          <w:szCs w:val="24"/>
        </w:rPr>
      </w:pPr>
      <w:r w:rsidRPr="00162FF8">
        <w:rPr>
          <w:rStyle w:val="normaltextrun"/>
          <w:b/>
          <w:bCs/>
          <w:color w:val="522E91"/>
          <w:sz w:val="24"/>
          <w:szCs w:val="24"/>
        </w:rPr>
        <w:t>Recommendation 1</w:t>
      </w:r>
      <w:r w:rsidR="00C94910">
        <w:rPr>
          <w:rStyle w:val="normaltextrun"/>
          <w:b/>
          <w:bCs/>
          <w:color w:val="522E91"/>
          <w:sz w:val="24"/>
          <w:szCs w:val="24"/>
        </w:rPr>
        <w:t>7</w:t>
      </w:r>
      <w:r w:rsidRPr="00162FF8">
        <w:rPr>
          <w:rStyle w:val="normaltextrun"/>
          <w:b/>
          <w:bCs/>
          <w:color w:val="522E91"/>
          <w:sz w:val="24"/>
          <w:szCs w:val="24"/>
        </w:rPr>
        <w:t>:</w:t>
      </w:r>
      <w:r w:rsidRPr="00162FF8">
        <w:rPr>
          <w:rStyle w:val="normaltextrun"/>
          <w:b/>
          <w:bCs/>
          <w:color w:val="7030A0"/>
          <w:sz w:val="24"/>
          <w:szCs w:val="24"/>
        </w:rPr>
        <w:t> </w:t>
      </w:r>
      <w:r w:rsidRPr="00162FF8">
        <w:rPr>
          <w:rStyle w:val="normaltextrun"/>
          <w:b/>
          <w:bCs/>
          <w:sz w:val="24"/>
          <w:szCs w:val="24"/>
        </w:rPr>
        <w:t>The Committee</w:t>
      </w:r>
      <w:r w:rsidR="006147F5" w:rsidRPr="00162FF8">
        <w:rPr>
          <w:rStyle w:val="normaltextrun"/>
          <w:b/>
          <w:bCs/>
          <w:sz w:val="24"/>
          <w:szCs w:val="24"/>
        </w:rPr>
        <w:t xml:space="preserve"> should</w:t>
      </w:r>
      <w:r w:rsidRPr="00162FF8">
        <w:rPr>
          <w:rStyle w:val="normaltextrun"/>
          <w:b/>
          <w:bCs/>
          <w:sz w:val="24"/>
          <w:szCs w:val="24"/>
        </w:rPr>
        <w:t xml:space="preserve"> recommend clause 67 of the Administrative Review Tribunal Bill 2023 be amended to </w:t>
      </w:r>
      <w:r w:rsidR="00CE3F2B" w:rsidRPr="00162FF8">
        <w:rPr>
          <w:rStyle w:val="normaltextrun"/>
          <w:b/>
          <w:bCs/>
          <w:sz w:val="24"/>
          <w:szCs w:val="24"/>
        </w:rPr>
        <w:t>specify that a litigation supporte</w:t>
      </w:r>
      <w:r w:rsidR="00F7322A" w:rsidRPr="00162FF8">
        <w:rPr>
          <w:rStyle w:val="normaltextrun"/>
          <w:b/>
          <w:bCs/>
          <w:sz w:val="24"/>
          <w:szCs w:val="24"/>
        </w:rPr>
        <w:t>r</w:t>
      </w:r>
      <w:r w:rsidR="784F729D" w:rsidRPr="00162FF8">
        <w:rPr>
          <w:rStyle w:val="normaltextrun"/>
          <w:b/>
          <w:bCs/>
          <w:sz w:val="24"/>
          <w:szCs w:val="24"/>
        </w:rPr>
        <w:t xml:space="preserve"> </w:t>
      </w:r>
      <w:r w:rsidR="00CE3F2B" w:rsidRPr="00162FF8">
        <w:rPr>
          <w:rStyle w:val="normaltextrun"/>
          <w:b/>
          <w:bCs/>
          <w:sz w:val="24"/>
          <w:szCs w:val="24"/>
        </w:rPr>
        <w:t>should only</w:t>
      </w:r>
      <w:r w:rsidR="1CFB3772" w:rsidRPr="00162FF8">
        <w:rPr>
          <w:rStyle w:val="normaltextrun"/>
          <w:b/>
          <w:bCs/>
          <w:sz w:val="24"/>
          <w:szCs w:val="24"/>
        </w:rPr>
        <w:t xml:space="preserve"> </w:t>
      </w:r>
      <w:r w:rsidR="167F9AD5" w:rsidRPr="00162FF8">
        <w:rPr>
          <w:rStyle w:val="normaltextrun"/>
          <w:b/>
          <w:bCs/>
          <w:sz w:val="24"/>
          <w:szCs w:val="24"/>
        </w:rPr>
        <w:t>be permitted to exercise</w:t>
      </w:r>
      <w:r w:rsidR="1CFB3772" w:rsidRPr="00162FF8">
        <w:rPr>
          <w:rStyle w:val="normaltextrun"/>
          <w:b/>
          <w:bCs/>
          <w:sz w:val="24"/>
          <w:szCs w:val="24"/>
        </w:rPr>
        <w:t xml:space="preserve"> substitute decision ma</w:t>
      </w:r>
      <w:r w:rsidR="3329DF4B" w:rsidRPr="00162FF8">
        <w:rPr>
          <w:rStyle w:val="normaltextrun"/>
          <w:b/>
          <w:bCs/>
          <w:sz w:val="24"/>
          <w:szCs w:val="24"/>
        </w:rPr>
        <w:t>king powers</w:t>
      </w:r>
      <w:r w:rsidR="50A6AA42" w:rsidRPr="00162FF8">
        <w:rPr>
          <w:rStyle w:val="normaltextrun"/>
          <w:b/>
          <w:bCs/>
          <w:sz w:val="24"/>
          <w:szCs w:val="24"/>
        </w:rPr>
        <w:t xml:space="preserve"> under sub-clauses 7 and 8</w:t>
      </w:r>
      <w:r w:rsidR="1CFB3772" w:rsidRPr="00162FF8">
        <w:rPr>
          <w:rStyle w:val="normaltextrun"/>
          <w:b/>
          <w:bCs/>
          <w:sz w:val="24"/>
          <w:szCs w:val="24"/>
        </w:rPr>
        <w:t xml:space="preserve"> </w:t>
      </w:r>
      <w:r w:rsidR="3C1B2C2E" w:rsidRPr="00162FF8">
        <w:rPr>
          <w:rStyle w:val="normaltextrun"/>
          <w:b/>
          <w:bCs/>
          <w:sz w:val="24"/>
          <w:szCs w:val="24"/>
        </w:rPr>
        <w:t>as a</w:t>
      </w:r>
      <w:r w:rsidR="00CE3F2B" w:rsidRPr="00162FF8">
        <w:rPr>
          <w:rStyle w:val="normaltextrun"/>
          <w:b/>
          <w:bCs/>
          <w:sz w:val="24"/>
          <w:szCs w:val="24"/>
        </w:rPr>
        <w:t xml:space="preserve"> last resort</w:t>
      </w:r>
      <w:r w:rsidRPr="00162FF8">
        <w:rPr>
          <w:rStyle w:val="normaltextrun"/>
          <w:b/>
          <w:bCs/>
          <w:sz w:val="24"/>
          <w:szCs w:val="24"/>
        </w:rPr>
        <w:t>.</w:t>
      </w:r>
    </w:p>
    <w:p w14:paraId="1567945A" w14:textId="287B839E" w:rsidR="003577A6" w:rsidRPr="00162FF8" w:rsidRDefault="002617F4" w:rsidP="0E887DD2">
      <w:pPr>
        <w:pStyle w:val="Heading1"/>
        <w:keepNext w:val="0"/>
        <w:keepLines w:val="0"/>
        <w:spacing w:line="360" w:lineRule="auto"/>
        <w:rPr>
          <w:sz w:val="28"/>
          <w:szCs w:val="28"/>
          <w:lang w:val="en-US"/>
        </w:rPr>
      </w:pPr>
      <w:bookmarkStart w:id="17" w:name="_Toc156546031"/>
      <w:r w:rsidRPr="00162FF8">
        <w:rPr>
          <w:rStyle w:val="normaltextrun"/>
          <w:rFonts w:ascii="Calibri" w:hAnsi="Calibri" w:cs="Calibri"/>
          <w:color w:val="522E91"/>
          <w:sz w:val="28"/>
          <w:szCs w:val="28"/>
        </w:rPr>
        <w:t xml:space="preserve">8. </w:t>
      </w:r>
      <w:r w:rsidR="003577A6" w:rsidRPr="00162FF8">
        <w:rPr>
          <w:rStyle w:val="normaltextrun"/>
          <w:rFonts w:ascii="Calibri" w:hAnsi="Calibri" w:cs="Calibri"/>
          <w:color w:val="522E91"/>
          <w:sz w:val="28"/>
          <w:szCs w:val="28"/>
        </w:rPr>
        <w:t>Conclusion</w:t>
      </w:r>
      <w:bookmarkEnd w:id="17"/>
      <w:r w:rsidR="003577A6" w:rsidRPr="00162FF8">
        <w:rPr>
          <w:rStyle w:val="eop"/>
          <w:rFonts w:ascii="Calibri" w:hAnsi="Calibri" w:cs="Calibri"/>
          <w:color w:val="522E91"/>
          <w:sz w:val="28"/>
          <w:szCs w:val="28"/>
        </w:rPr>
        <w:t> </w:t>
      </w:r>
    </w:p>
    <w:p w14:paraId="41B2F838" w14:textId="352FE945" w:rsidR="003577A6" w:rsidRDefault="003577A6" w:rsidP="0E887DD2">
      <w:pPr>
        <w:pStyle w:val="paragraph"/>
        <w:spacing w:before="0" w:beforeAutospacing="0" w:after="0" w:afterAutospacing="0" w:line="360" w:lineRule="auto"/>
        <w:textAlignment w:val="baseline"/>
        <w:rPr>
          <w:rFonts w:ascii="Calibri" w:hAnsi="Calibri" w:cs="Calibri"/>
          <w:sz w:val="32"/>
          <w:szCs w:val="32"/>
        </w:rPr>
      </w:pPr>
      <w:r w:rsidRPr="0E887DD2">
        <w:rPr>
          <w:rStyle w:val="normaltextrun"/>
          <w:rFonts w:ascii="Calibri" w:hAnsi="Calibri" w:cs="Calibri"/>
        </w:rPr>
        <w:t>We would like to thank the Committee</w:t>
      </w:r>
      <w:r w:rsidR="66E1C272" w:rsidRPr="0E887DD2">
        <w:rPr>
          <w:rStyle w:val="normaltextrun"/>
          <w:rFonts w:ascii="Calibri" w:hAnsi="Calibri" w:cs="Calibri"/>
        </w:rPr>
        <w:t xml:space="preserve"> </w:t>
      </w:r>
      <w:r w:rsidRPr="0E887DD2">
        <w:rPr>
          <w:rStyle w:val="normaltextrun"/>
          <w:rFonts w:ascii="Calibri" w:hAnsi="Calibri" w:cs="Calibri"/>
        </w:rPr>
        <w:t xml:space="preserve">for the opportunity to lodge this submission. We hope that the views we have put forward in this submission assist in the </w:t>
      </w:r>
      <w:r w:rsidR="00EA2747" w:rsidRPr="0E887DD2">
        <w:rPr>
          <w:rStyle w:val="normaltextrun"/>
          <w:rFonts w:ascii="Calibri" w:hAnsi="Calibri" w:cs="Calibri"/>
        </w:rPr>
        <w:t>Committee’s consideration of the merits of the Bill</w:t>
      </w:r>
      <w:r w:rsidRPr="0E887DD2">
        <w:rPr>
          <w:rStyle w:val="normaltextrun"/>
          <w:rFonts w:ascii="Calibri" w:hAnsi="Calibri" w:cs="Calibri"/>
        </w:rPr>
        <w:t xml:space="preserve">. In concluding, we reiterate the </w:t>
      </w:r>
      <w:r w:rsidR="00EA2747" w:rsidRPr="0E887DD2">
        <w:rPr>
          <w:rStyle w:val="normaltextrun"/>
          <w:rFonts w:ascii="Calibri" w:hAnsi="Calibri" w:cs="Calibri"/>
        </w:rPr>
        <w:t xml:space="preserve">pivotal role that the new Administrative Review Tribunal will play in ensuring that the rights </w:t>
      </w:r>
      <w:r w:rsidR="00046A45" w:rsidRPr="0E887DD2">
        <w:rPr>
          <w:rStyle w:val="normaltextrun"/>
          <w:rFonts w:ascii="Calibri" w:hAnsi="Calibri" w:cs="Calibri"/>
        </w:rPr>
        <w:t xml:space="preserve">of people living with disability are </w:t>
      </w:r>
      <w:r w:rsidR="00EC4E52" w:rsidRPr="0E887DD2">
        <w:rPr>
          <w:rStyle w:val="normaltextrun"/>
          <w:rFonts w:ascii="Calibri" w:hAnsi="Calibri" w:cs="Calibri"/>
        </w:rPr>
        <w:t>actuated</w:t>
      </w:r>
      <w:r w:rsidR="0041360B" w:rsidRPr="0E887DD2">
        <w:rPr>
          <w:rStyle w:val="normaltextrun"/>
          <w:rFonts w:ascii="Calibri" w:hAnsi="Calibri" w:cs="Calibri"/>
        </w:rPr>
        <w:t>. We emphasise</w:t>
      </w:r>
      <w:r w:rsidR="002961F9" w:rsidRPr="0E887DD2">
        <w:rPr>
          <w:rStyle w:val="normaltextrun"/>
          <w:rFonts w:ascii="Calibri" w:hAnsi="Calibri" w:cs="Calibri"/>
        </w:rPr>
        <w:t xml:space="preserve"> the need </w:t>
      </w:r>
      <w:r w:rsidR="008340D7" w:rsidRPr="0E887DD2">
        <w:rPr>
          <w:rStyle w:val="normaltextrun"/>
          <w:rFonts w:ascii="Calibri" w:hAnsi="Calibri" w:cs="Calibri"/>
        </w:rPr>
        <w:t xml:space="preserve">for this new institution to </w:t>
      </w:r>
      <w:r w:rsidR="00FF68E7" w:rsidRPr="0E887DD2">
        <w:rPr>
          <w:rStyle w:val="normaltextrun"/>
          <w:rFonts w:ascii="Calibri" w:hAnsi="Calibri" w:cs="Calibri"/>
        </w:rPr>
        <w:t xml:space="preserve">enable </w:t>
      </w:r>
      <w:r w:rsidR="00BC1752" w:rsidRPr="0E887DD2">
        <w:rPr>
          <w:rStyle w:val="normaltextrun"/>
          <w:rFonts w:ascii="Calibri" w:hAnsi="Calibri" w:cs="Calibri"/>
        </w:rPr>
        <w:t>an</w:t>
      </w:r>
      <w:r w:rsidR="00D45A3A" w:rsidRPr="0E887DD2">
        <w:rPr>
          <w:rStyle w:val="normaltextrun"/>
          <w:rFonts w:ascii="Calibri" w:hAnsi="Calibri" w:cs="Calibri"/>
        </w:rPr>
        <w:t xml:space="preserve"> </w:t>
      </w:r>
      <w:r w:rsidR="003B1294" w:rsidRPr="0E887DD2">
        <w:rPr>
          <w:rStyle w:val="normaltextrun"/>
          <w:rFonts w:ascii="Calibri" w:hAnsi="Calibri" w:cs="Calibri"/>
        </w:rPr>
        <w:t>adherence</w:t>
      </w:r>
      <w:r w:rsidR="00D45A3A" w:rsidRPr="0E887DD2">
        <w:rPr>
          <w:rStyle w:val="normaltextrun"/>
          <w:rFonts w:ascii="Calibri" w:hAnsi="Calibri" w:cs="Calibri"/>
        </w:rPr>
        <w:t xml:space="preserve"> </w:t>
      </w:r>
      <w:r w:rsidR="003B1294" w:rsidRPr="0E887DD2">
        <w:rPr>
          <w:rStyle w:val="normaltextrun"/>
          <w:rFonts w:ascii="Calibri" w:hAnsi="Calibri" w:cs="Calibri"/>
        </w:rPr>
        <w:t>to</w:t>
      </w:r>
      <w:r w:rsidR="00D45A3A" w:rsidRPr="0E887DD2">
        <w:rPr>
          <w:rStyle w:val="normaltextrun"/>
          <w:rFonts w:ascii="Calibri" w:hAnsi="Calibri" w:cs="Calibri"/>
        </w:rPr>
        <w:t xml:space="preserve"> Australia’s</w:t>
      </w:r>
      <w:r w:rsidR="0095328B" w:rsidRPr="0E887DD2">
        <w:rPr>
          <w:rStyle w:val="normaltextrun"/>
          <w:rFonts w:ascii="Calibri" w:hAnsi="Calibri" w:cs="Calibri"/>
        </w:rPr>
        <w:t xml:space="preserve"> international obligations, not just </w:t>
      </w:r>
      <w:r w:rsidR="00BD218F" w:rsidRPr="0E887DD2">
        <w:rPr>
          <w:rStyle w:val="normaltextrun"/>
          <w:rFonts w:ascii="Calibri" w:hAnsi="Calibri" w:cs="Calibri"/>
        </w:rPr>
        <w:t xml:space="preserve">on paper, but also </w:t>
      </w:r>
      <w:r w:rsidR="001B1BD7" w:rsidRPr="0E887DD2">
        <w:rPr>
          <w:rStyle w:val="normaltextrun"/>
          <w:rFonts w:ascii="Calibri" w:hAnsi="Calibri" w:cs="Calibri"/>
        </w:rPr>
        <w:t>in the day-to-day operations of the Tribunal for decades to come</w:t>
      </w:r>
      <w:r w:rsidR="00BD218F" w:rsidRPr="0E887DD2">
        <w:rPr>
          <w:rStyle w:val="normaltextrun"/>
          <w:rFonts w:ascii="Calibri" w:hAnsi="Calibri" w:cs="Calibri"/>
        </w:rPr>
        <w:t>.</w:t>
      </w:r>
      <w:r w:rsidR="00D45A3A" w:rsidRPr="0E887DD2">
        <w:rPr>
          <w:rStyle w:val="normaltextrun"/>
          <w:rFonts w:ascii="Calibri" w:hAnsi="Calibri" w:cs="Calibri"/>
        </w:rPr>
        <w:t xml:space="preserve"> </w:t>
      </w:r>
      <w:r w:rsidR="00FF68E7" w:rsidRPr="0E887DD2">
        <w:rPr>
          <w:rStyle w:val="normaltextrun"/>
          <w:rFonts w:ascii="Calibri" w:hAnsi="Calibri" w:cs="Calibri"/>
        </w:rPr>
        <w:t xml:space="preserve"> </w:t>
      </w:r>
      <w:r w:rsidRPr="0E887DD2">
        <w:rPr>
          <w:rStyle w:val="normaltextrun"/>
          <w:rFonts w:ascii="Calibri" w:hAnsi="Calibri" w:cs="Calibri"/>
        </w:rPr>
        <w:t>  </w:t>
      </w:r>
      <w:r w:rsidRPr="0E887DD2">
        <w:rPr>
          <w:rStyle w:val="eop"/>
          <w:rFonts w:ascii="Calibri" w:hAnsi="Calibri" w:cs="Calibri"/>
        </w:rPr>
        <w:t> </w:t>
      </w:r>
    </w:p>
    <w:p w14:paraId="41A3DDE3" w14:textId="77777777" w:rsidR="003577A6" w:rsidRDefault="003577A6" w:rsidP="0E887DD2">
      <w:pPr>
        <w:pStyle w:val="paragraph"/>
        <w:spacing w:before="0" w:beforeAutospacing="0" w:after="0" w:afterAutospacing="0" w:line="360" w:lineRule="auto"/>
        <w:textAlignment w:val="baseline"/>
        <w:rPr>
          <w:rStyle w:val="normaltextrun"/>
          <w:rFonts w:ascii="Calibri" w:hAnsi="Calibri" w:cs="Calibri"/>
        </w:rPr>
      </w:pPr>
    </w:p>
    <w:p w14:paraId="09E946AD" w14:textId="441BA355" w:rsidR="003577A6" w:rsidRDefault="003577A6" w:rsidP="0E887DD2">
      <w:pPr>
        <w:pStyle w:val="paragraph"/>
        <w:spacing w:before="0" w:beforeAutospacing="0" w:after="0" w:afterAutospacing="0" w:line="360" w:lineRule="auto"/>
        <w:textAlignment w:val="baseline"/>
        <w:rPr>
          <w:rFonts w:ascii="Calibri" w:hAnsi="Calibri" w:cs="Calibri"/>
          <w:sz w:val="32"/>
          <w:szCs w:val="32"/>
        </w:rPr>
      </w:pPr>
      <w:r w:rsidRPr="0E887DD2">
        <w:rPr>
          <w:rStyle w:val="normaltextrun"/>
          <w:rFonts w:ascii="Calibri" w:hAnsi="Calibri" w:cs="Calibri"/>
        </w:rPr>
        <w:lastRenderedPageBreak/>
        <w:t>We would be happy to</w:t>
      </w:r>
      <w:r w:rsidR="001B1BD7" w:rsidRPr="0E887DD2">
        <w:rPr>
          <w:rStyle w:val="normaltextrun"/>
          <w:rFonts w:ascii="Calibri" w:hAnsi="Calibri" w:cs="Calibri"/>
        </w:rPr>
        <w:t xml:space="preserve"> give evidence to the Committee</w:t>
      </w:r>
      <w:r w:rsidR="00E17E79" w:rsidRPr="0E887DD2">
        <w:rPr>
          <w:rStyle w:val="normaltextrun"/>
          <w:rFonts w:ascii="Calibri" w:hAnsi="Calibri" w:cs="Calibri"/>
        </w:rPr>
        <w:t xml:space="preserve"> to further explain </w:t>
      </w:r>
      <w:r w:rsidR="009F1C77" w:rsidRPr="0E887DD2">
        <w:rPr>
          <w:rStyle w:val="normaltextrun"/>
          <w:rFonts w:ascii="Calibri" w:hAnsi="Calibri" w:cs="Calibri"/>
        </w:rPr>
        <w:t>the important recommendations made in this submission and to answer questions</w:t>
      </w:r>
      <w:r w:rsidRPr="0E887DD2">
        <w:rPr>
          <w:rStyle w:val="normaltextrun"/>
          <w:rFonts w:ascii="Calibri" w:hAnsi="Calibri" w:cs="Calibri"/>
        </w:rPr>
        <w:t xml:space="preserve">. To arrange this, please contact </w:t>
      </w:r>
      <w:r w:rsidR="0010553B" w:rsidRPr="0E887DD2">
        <w:rPr>
          <w:rStyle w:val="normaltextrun"/>
          <w:rFonts w:ascii="Calibri" w:hAnsi="Calibri" w:cs="Calibri"/>
        </w:rPr>
        <w:t>Tracey Wallace, Strategy Leader of JFA Purple Orange, on (08) 8373 8</w:t>
      </w:r>
      <w:r w:rsidR="00904632" w:rsidRPr="0E887DD2">
        <w:rPr>
          <w:rStyle w:val="normaltextrun"/>
          <w:rFonts w:ascii="Calibri" w:hAnsi="Calibri" w:cs="Calibri"/>
        </w:rPr>
        <w:t xml:space="preserve">333 or </w:t>
      </w:r>
      <w:proofErr w:type="gramStart"/>
      <w:r w:rsidR="00904632" w:rsidRPr="0E887DD2">
        <w:rPr>
          <w:rStyle w:val="normaltextrun"/>
          <w:rFonts w:ascii="Calibri" w:hAnsi="Calibri" w:cs="Calibri"/>
        </w:rPr>
        <w:t>traceyw@purpleorange.org.au .</w:t>
      </w:r>
      <w:proofErr w:type="gramEnd"/>
      <w:r w:rsidR="00904632" w:rsidRPr="0E887DD2">
        <w:rPr>
          <w:rStyle w:val="normaltextrun"/>
          <w:rFonts w:ascii="Calibri" w:hAnsi="Calibri" w:cs="Calibri"/>
        </w:rPr>
        <w:t xml:space="preserve"> </w:t>
      </w:r>
    </w:p>
    <w:p w14:paraId="5D85C1DA" w14:textId="28EABD2E" w:rsidR="0073565B" w:rsidRDefault="0073565B" w:rsidP="0E887DD2">
      <w:pPr>
        <w:spacing w:line="360" w:lineRule="auto"/>
      </w:pPr>
    </w:p>
    <w:sectPr w:rsidR="0073565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50C06" w14:textId="77777777" w:rsidR="0008379F" w:rsidRDefault="0008379F" w:rsidP="00827D89">
      <w:pPr>
        <w:spacing w:after="0" w:line="240" w:lineRule="auto"/>
      </w:pPr>
      <w:r>
        <w:separator/>
      </w:r>
    </w:p>
  </w:endnote>
  <w:endnote w:type="continuationSeparator" w:id="0">
    <w:p w14:paraId="7596941A" w14:textId="77777777" w:rsidR="0008379F" w:rsidRDefault="0008379F" w:rsidP="00827D89">
      <w:pPr>
        <w:spacing w:after="0" w:line="240" w:lineRule="auto"/>
      </w:pPr>
      <w:r>
        <w:continuationSeparator/>
      </w:r>
    </w:p>
  </w:endnote>
  <w:endnote w:type="continuationNotice" w:id="1">
    <w:p w14:paraId="5A8BF0A8" w14:textId="77777777" w:rsidR="0008379F" w:rsidRDefault="000837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8D1B4" w14:textId="77777777" w:rsidR="0008379F" w:rsidRDefault="0008379F" w:rsidP="00827D89">
      <w:pPr>
        <w:spacing w:after="0" w:line="240" w:lineRule="auto"/>
      </w:pPr>
      <w:r>
        <w:separator/>
      </w:r>
    </w:p>
  </w:footnote>
  <w:footnote w:type="continuationSeparator" w:id="0">
    <w:p w14:paraId="2F6FB4B1" w14:textId="77777777" w:rsidR="0008379F" w:rsidRDefault="0008379F" w:rsidP="00827D89">
      <w:pPr>
        <w:spacing w:after="0" w:line="240" w:lineRule="auto"/>
      </w:pPr>
      <w:r>
        <w:continuationSeparator/>
      </w:r>
    </w:p>
  </w:footnote>
  <w:footnote w:type="continuationNotice" w:id="1">
    <w:p w14:paraId="4E8F806B" w14:textId="77777777" w:rsidR="0008379F" w:rsidRDefault="0008379F">
      <w:pPr>
        <w:spacing w:after="0" w:line="240" w:lineRule="auto"/>
      </w:pPr>
    </w:p>
  </w:footnote>
  <w:footnote w:id="2">
    <w:p w14:paraId="320F233D" w14:textId="22137718" w:rsidR="00495D38" w:rsidRPr="00495D38" w:rsidRDefault="00495D38">
      <w:pPr>
        <w:pStyle w:val="FootnoteText"/>
        <w:rPr>
          <w:lang w:val="en-US"/>
        </w:rPr>
      </w:pPr>
      <w:r>
        <w:rPr>
          <w:rStyle w:val="FootnoteReference"/>
        </w:rPr>
        <w:footnoteRef/>
      </w:r>
      <w:r>
        <w:t xml:space="preserve"> Disability Advocacy Network of Australia, ‘Designing a new a new federal administrative review body that is user-focused, efficient, accessible, independent and fair’ May 12.</w:t>
      </w:r>
    </w:p>
  </w:footnote>
  <w:footnote w:id="3">
    <w:p w14:paraId="23EF097B" w14:textId="45CFCACD" w:rsidR="0063612C" w:rsidRPr="0063612C" w:rsidRDefault="0063612C">
      <w:pPr>
        <w:pStyle w:val="FootnoteText"/>
        <w:rPr>
          <w:lang w:val="en-US"/>
        </w:rPr>
      </w:pPr>
      <w:r>
        <w:rPr>
          <w:rStyle w:val="FootnoteReference"/>
        </w:rPr>
        <w:footnoteRef/>
      </w:r>
      <w:r>
        <w:t xml:space="preserve"> </w:t>
      </w:r>
      <w:r>
        <w:rPr>
          <w:lang w:val="en-US"/>
        </w:rPr>
        <w:t>Ibid 5.</w:t>
      </w:r>
    </w:p>
  </w:footnote>
  <w:footnote w:id="4">
    <w:p w14:paraId="2E36D719" w14:textId="6456C3DB" w:rsidR="002E2E0F" w:rsidRPr="003E6EEA" w:rsidRDefault="002E2E0F">
      <w:pPr>
        <w:pStyle w:val="FootnoteText"/>
        <w:rPr>
          <w:lang w:val="en-US"/>
        </w:rPr>
      </w:pPr>
      <w:r>
        <w:rPr>
          <w:rStyle w:val="FootnoteReference"/>
        </w:rPr>
        <w:footnoteRef/>
      </w:r>
      <w:r>
        <w:t xml:space="preserve"> </w:t>
      </w:r>
      <w:r w:rsidR="00495D38">
        <w:t>Ibid</w:t>
      </w:r>
      <w:r w:rsidR="00E05976">
        <w:t xml:space="preserve"> 5-6.</w:t>
      </w:r>
    </w:p>
  </w:footnote>
  <w:footnote w:id="5">
    <w:p w14:paraId="6714BCFB" w14:textId="2F6744BD" w:rsidR="00F51750" w:rsidRPr="00F51750" w:rsidRDefault="00F51750">
      <w:pPr>
        <w:pStyle w:val="FootnoteText"/>
        <w:rPr>
          <w:lang w:val="en-US"/>
        </w:rPr>
      </w:pPr>
      <w:r>
        <w:rPr>
          <w:rStyle w:val="FootnoteReference"/>
        </w:rPr>
        <w:footnoteRef/>
      </w:r>
      <w:r>
        <w:t xml:space="preserve"> </w:t>
      </w:r>
      <w:r w:rsidR="00291F5A">
        <w:rPr>
          <w:lang w:val="en-US"/>
        </w:rPr>
        <w:t xml:space="preserve">Royal Commission Into Violence, Abuse, Neglect and Exploitation, </w:t>
      </w:r>
      <w:r w:rsidR="00613DE6">
        <w:rPr>
          <w:lang w:val="en-US"/>
        </w:rPr>
        <w:t>Final Report, ‘Realising the Human Rights of People with Disability’</w:t>
      </w:r>
      <w:r w:rsidR="00D80CD9">
        <w:rPr>
          <w:lang w:val="en-US"/>
        </w:rPr>
        <w:t xml:space="preserve"> September (2023) 26.</w:t>
      </w:r>
      <w:r w:rsidR="00291F5A">
        <w:rPr>
          <w:lang w:val="en-US"/>
        </w:rPr>
        <w:t xml:space="preserve"> </w:t>
      </w:r>
    </w:p>
  </w:footnote>
  <w:footnote w:id="6">
    <w:p w14:paraId="57B80C64" w14:textId="200D2AB6" w:rsidR="009C17C2" w:rsidRPr="009C17C2" w:rsidRDefault="009C17C2">
      <w:pPr>
        <w:pStyle w:val="FootnoteText"/>
        <w:rPr>
          <w:lang w:val="en-US"/>
        </w:rPr>
      </w:pPr>
      <w:r>
        <w:rPr>
          <w:rStyle w:val="FootnoteReference"/>
        </w:rPr>
        <w:footnoteRef/>
      </w:r>
      <w:r>
        <w:t xml:space="preserve"> </w:t>
      </w:r>
      <w:r>
        <w:rPr>
          <w:lang w:val="en-US"/>
        </w:rPr>
        <w:t>Royal Commission Into Violence, Abuse, Neglect and Exploitation, Final Report, ‘</w:t>
      </w:r>
      <w:r w:rsidR="00F91F25">
        <w:rPr>
          <w:lang w:val="en-US"/>
        </w:rPr>
        <w:t>Inclusive Education, Employment and Housing- Part B</w:t>
      </w:r>
      <w:r>
        <w:rPr>
          <w:lang w:val="en-US"/>
        </w:rPr>
        <w:t>’ September (2023).</w:t>
      </w:r>
    </w:p>
  </w:footnote>
  <w:footnote w:id="7">
    <w:p w14:paraId="62F81EF8" w14:textId="15BA0D73" w:rsidR="001107FB" w:rsidRPr="001107FB" w:rsidRDefault="001107FB">
      <w:pPr>
        <w:pStyle w:val="FootnoteText"/>
        <w:rPr>
          <w:lang w:val="en-US"/>
        </w:rPr>
      </w:pPr>
      <w:r>
        <w:rPr>
          <w:rStyle w:val="FootnoteReference"/>
        </w:rPr>
        <w:footnoteRef/>
      </w:r>
      <w:r>
        <w:t xml:space="preserve"> </w:t>
      </w:r>
      <w:r w:rsidR="00380FA9">
        <w:t>Ibid 378.</w:t>
      </w:r>
    </w:p>
  </w:footnote>
  <w:footnote w:id="8">
    <w:p w14:paraId="1D522E77" w14:textId="62EB4879" w:rsidR="005431BD" w:rsidRPr="005431BD" w:rsidRDefault="005431BD">
      <w:pPr>
        <w:pStyle w:val="FootnoteText"/>
        <w:rPr>
          <w:lang w:val="en-US"/>
        </w:rPr>
      </w:pPr>
      <w:r>
        <w:rPr>
          <w:rStyle w:val="FootnoteReference"/>
        </w:rPr>
        <w:footnoteRef/>
      </w:r>
      <w:r>
        <w:t xml:space="preserve"> </w:t>
      </w:r>
      <w:r w:rsidR="00380FA9">
        <w:rPr>
          <w:lang w:val="en-US"/>
        </w:rPr>
        <w:t>Ibid.</w:t>
      </w:r>
    </w:p>
  </w:footnote>
  <w:footnote w:id="9">
    <w:p w14:paraId="5483159D" w14:textId="399965E8" w:rsidR="0089225F" w:rsidRPr="0089225F" w:rsidRDefault="0089225F">
      <w:pPr>
        <w:pStyle w:val="FootnoteText"/>
        <w:rPr>
          <w:lang w:val="en-US"/>
        </w:rPr>
      </w:pPr>
      <w:r>
        <w:rPr>
          <w:rStyle w:val="FootnoteReference"/>
        </w:rPr>
        <w:footnoteRef/>
      </w:r>
      <w:r>
        <w:t xml:space="preserve"> </w:t>
      </w:r>
      <w:r w:rsidR="00D22F29">
        <w:rPr>
          <w:lang w:val="en-US"/>
        </w:rPr>
        <w:t>Ibid 379</w:t>
      </w:r>
    </w:p>
  </w:footnote>
  <w:footnote w:id="10">
    <w:p w14:paraId="746EBCC9" w14:textId="0E2448EC" w:rsidR="00E2604F" w:rsidRPr="00E2604F" w:rsidRDefault="00E2604F">
      <w:pPr>
        <w:pStyle w:val="FootnoteText"/>
        <w:rPr>
          <w:lang w:val="en-US"/>
        </w:rPr>
      </w:pPr>
      <w:r>
        <w:rPr>
          <w:rStyle w:val="FootnoteReference"/>
        </w:rPr>
        <w:footnoteRef/>
      </w:r>
      <w:r>
        <w:t xml:space="preserve"> Australian Government Department of Social Services, </w:t>
      </w:r>
      <w:r w:rsidRPr="007C193D">
        <w:rPr>
          <w:i/>
          <w:iCs/>
        </w:rPr>
        <w:t>Australia’s Disability Strategy 2021–2031</w:t>
      </w:r>
      <w:r>
        <w:t>, December 2021, pp 7–8.</w:t>
      </w:r>
    </w:p>
  </w:footnote>
  <w:footnote w:id="11">
    <w:p w14:paraId="660C34B9" w14:textId="124145D8" w:rsidR="00243C4C" w:rsidRPr="00243C4C" w:rsidRDefault="00243C4C">
      <w:pPr>
        <w:pStyle w:val="FootnoteText"/>
        <w:rPr>
          <w:lang w:val="en-US"/>
        </w:rPr>
      </w:pPr>
      <w:r>
        <w:rPr>
          <w:rStyle w:val="FootnoteReference"/>
        </w:rPr>
        <w:footnoteRef/>
      </w:r>
      <w:r>
        <w:t xml:space="preserve"> </w:t>
      </w:r>
      <w:r w:rsidR="009B6371">
        <w:rPr>
          <w:lang w:val="en-US"/>
        </w:rPr>
        <w:t xml:space="preserve">Royal Commission Into Violence, Abuse, Neglect and Exploitation, above n 5, </w:t>
      </w:r>
      <w:r>
        <w:rPr>
          <w:lang w:val="en-US"/>
        </w:rPr>
        <w:t>419</w:t>
      </w:r>
      <w:r w:rsidR="009B6371">
        <w:rPr>
          <w:lang w:val="en-US"/>
        </w:rPr>
        <w:t>.</w:t>
      </w:r>
    </w:p>
  </w:footnote>
  <w:footnote w:id="12">
    <w:p w14:paraId="007CB95F" w14:textId="15E462B4" w:rsidR="00CB72F6" w:rsidRPr="00CB72F6" w:rsidRDefault="00CB72F6">
      <w:pPr>
        <w:pStyle w:val="FootnoteText"/>
        <w:rPr>
          <w:lang w:val="en-US"/>
        </w:rPr>
      </w:pPr>
      <w:r>
        <w:rPr>
          <w:rStyle w:val="FootnoteReference"/>
        </w:rPr>
        <w:footnoteRef/>
      </w:r>
      <w:r w:rsidR="0E887DD2">
        <w:t xml:space="preserve"> Committee on the Rights of People with Disabilities, General comment no. 8 (2022) on the right of People with disabilities to work and employment, advance unedited version, UN Doc CRPD/C/ GC/8 (9 September 2022), [40].</w:t>
      </w:r>
    </w:p>
  </w:footnote>
  <w:footnote w:id="13">
    <w:p w14:paraId="07BCBE7D" w14:textId="0A53B526" w:rsidR="009427CB" w:rsidRPr="009427CB" w:rsidRDefault="009427CB">
      <w:pPr>
        <w:pStyle w:val="FootnoteText"/>
        <w:rPr>
          <w:lang w:val="en-US"/>
        </w:rPr>
      </w:pPr>
      <w:r>
        <w:rPr>
          <w:rStyle w:val="FootnoteReference"/>
        </w:rPr>
        <w:footnoteRef/>
      </w:r>
      <w:r>
        <w:t xml:space="preserve"> National People with Disabilities and Carer Council, Shut Out: The experience of people with disabilities and their families in Australia, 2009, p 41.</w:t>
      </w:r>
    </w:p>
  </w:footnote>
  <w:footnote w:id="14">
    <w:p w14:paraId="7ECAA104" w14:textId="7788EA58" w:rsidR="00573615" w:rsidRPr="00573615" w:rsidRDefault="00573615">
      <w:pPr>
        <w:pStyle w:val="FootnoteText"/>
        <w:rPr>
          <w:lang w:val="en-US"/>
        </w:rPr>
      </w:pPr>
      <w:r>
        <w:rPr>
          <w:rStyle w:val="FootnoteReference"/>
        </w:rPr>
        <w:footnoteRef/>
      </w:r>
      <w:r>
        <w:t xml:space="preserve"> Disability Royal Commission, Transcript, Peter Woolcott, Public hearing 19, 25 November 2021, P-319 [40].</w:t>
      </w:r>
    </w:p>
  </w:footnote>
  <w:footnote w:id="15">
    <w:p w14:paraId="200B9DAD" w14:textId="0B0D884B" w:rsidR="00470D5F" w:rsidRPr="00470D5F" w:rsidRDefault="00470D5F">
      <w:pPr>
        <w:pStyle w:val="FootnoteText"/>
        <w:rPr>
          <w:lang w:val="en-US"/>
        </w:rPr>
      </w:pPr>
      <w:r>
        <w:rPr>
          <w:rStyle w:val="FootnoteReference"/>
        </w:rPr>
        <w:footnoteRef/>
      </w:r>
      <w:r>
        <w:t xml:space="preserve"> </w:t>
      </w:r>
      <w:r w:rsidR="0071264D">
        <w:t>Disability Royal Commission, Transcript, Graeme Innes, Public hearing 19, 22 November 2021, P-25 [38–41].</w:t>
      </w:r>
    </w:p>
  </w:footnote>
  <w:footnote w:id="16">
    <w:p w14:paraId="48A3F6EF" w14:textId="4CAADF9B" w:rsidR="00FF7B7F" w:rsidRPr="00FF7B7F" w:rsidRDefault="00FF7B7F">
      <w:pPr>
        <w:pStyle w:val="FootnoteText"/>
        <w:rPr>
          <w:lang w:val="en-US"/>
        </w:rPr>
      </w:pPr>
      <w:r>
        <w:rPr>
          <w:rStyle w:val="FootnoteReference"/>
        </w:rPr>
        <w:footnoteRef/>
      </w:r>
      <w:r>
        <w:t xml:space="preserve"> </w:t>
      </w:r>
      <w:r w:rsidR="00251D4A">
        <w:rPr>
          <w:lang w:val="en-US"/>
        </w:rPr>
        <w:t>Royal Commission Into Violence, Abuse, Neglect and Exploitation, Final Report, ‘</w:t>
      </w:r>
      <w:r w:rsidR="00F52706">
        <w:rPr>
          <w:lang w:val="en-US"/>
        </w:rPr>
        <w:t>Enabling Autonomy and Access</w:t>
      </w:r>
      <w:r w:rsidR="00251D4A">
        <w:rPr>
          <w:lang w:val="en-US"/>
        </w:rPr>
        <w:t>’ September (2023)</w:t>
      </w:r>
      <w:r w:rsidR="00F52706">
        <w:rPr>
          <w:lang w:val="en-US"/>
        </w:rPr>
        <w:t xml:space="preserve"> 41</w:t>
      </w:r>
      <w:r w:rsidR="00251D4A">
        <w:rPr>
          <w:lang w:val="en-US"/>
        </w:rPr>
        <w:t>.</w:t>
      </w:r>
    </w:p>
  </w:footnote>
  <w:footnote w:id="17">
    <w:p w14:paraId="494AC14E" w14:textId="690B66EA" w:rsidR="00C7083A" w:rsidRPr="00C7083A" w:rsidRDefault="00C7083A">
      <w:pPr>
        <w:pStyle w:val="FootnoteText"/>
        <w:rPr>
          <w:lang w:val="en-US"/>
        </w:rPr>
      </w:pPr>
      <w:r>
        <w:rPr>
          <w:rStyle w:val="FootnoteReference"/>
        </w:rPr>
        <w:footnoteRef/>
      </w:r>
      <w:r>
        <w:t xml:space="preserve"> </w:t>
      </w:r>
      <w:r>
        <w:rPr>
          <w:color w:val="000000"/>
        </w:rPr>
        <w:t xml:space="preserve">Social Policy Research Centre and National Ethnic Disability Alliance, </w:t>
      </w:r>
      <w:r>
        <w:rPr>
          <w:i/>
          <w:iCs/>
          <w:color w:val="000000"/>
        </w:rPr>
        <w:t>Towards best-practice access to services for culturally and linguistically diverse people with a disability</w:t>
      </w:r>
      <w:r>
        <w:rPr>
          <w:color w:val="000000"/>
        </w:rPr>
        <w:t>, Report prepared</w:t>
      </w:r>
      <w:r w:rsidR="00AA1B7A">
        <w:rPr>
          <w:color w:val="000000"/>
        </w:rPr>
        <w:t xml:space="preserve"> for the Royal Commission into Violence, Abuse, Neglect and Exploitation of People with Disability, April 2023.</w:t>
      </w:r>
    </w:p>
  </w:footnote>
  <w:footnote w:id="18">
    <w:p w14:paraId="379698A2" w14:textId="2B429CB3" w:rsidR="00301697" w:rsidRPr="00301697" w:rsidRDefault="00301697">
      <w:pPr>
        <w:pStyle w:val="FootnoteText"/>
        <w:rPr>
          <w:lang w:val="en-US"/>
        </w:rPr>
      </w:pPr>
      <w:r>
        <w:rPr>
          <w:rStyle w:val="FootnoteReference"/>
        </w:rPr>
        <w:footnoteRef/>
      </w:r>
      <w:r>
        <w:t xml:space="preserve"> </w:t>
      </w:r>
      <w:r w:rsidR="00295058">
        <w:rPr>
          <w:lang w:val="en-US"/>
        </w:rPr>
        <w:t>Royal Commission Into Violence, Abuse, Neglect and Exploitation, above n 15, 43.</w:t>
      </w:r>
    </w:p>
  </w:footnote>
  <w:footnote w:id="19">
    <w:p w14:paraId="20FF620D" w14:textId="18A9AE34" w:rsidR="00912BE3" w:rsidRPr="00912BE3" w:rsidRDefault="00912BE3">
      <w:pPr>
        <w:pStyle w:val="FootnoteText"/>
        <w:rPr>
          <w:lang w:val="en-US"/>
        </w:rPr>
      </w:pPr>
      <w:r>
        <w:rPr>
          <w:rStyle w:val="FootnoteReference"/>
        </w:rPr>
        <w:footnoteRef/>
      </w:r>
      <w:r w:rsidR="0E887DD2">
        <w:t xml:space="preserve"> </w:t>
      </w:r>
      <w:r w:rsidR="0E887DD2">
        <w:rPr>
          <w:color w:val="000000"/>
        </w:rPr>
        <w:t xml:space="preserve">United Nations Committee on the Rights of People with Disabilities, </w:t>
      </w:r>
      <w:r w:rsidR="0E887DD2" w:rsidRPr="0E887DD2">
        <w:rPr>
          <w:i/>
          <w:iCs/>
          <w:color w:val="000000"/>
        </w:rPr>
        <w:t>Concluding observations on the combined second and third periodic reports of Australia</w:t>
      </w:r>
      <w:r w:rsidR="0E887DD2">
        <w:rPr>
          <w:color w:val="000000"/>
        </w:rPr>
        <w:t>, (2019), [41].</w:t>
      </w:r>
    </w:p>
  </w:footnote>
  <w:footnote w:id="20">
    <w:p w14:paraId="6CBFE55C" w14:textId="664FE97B" w:rsidR="00326D06" w:rsidRPr="00326D06" w:rsidRDefault="00326D06">
      <w:pPr>
        <w:pStyle w:val="FootnoteText"/>
        <w:rPr>
          <w:lang w:val="en-US"/>
        </w:rPr>
      </w:pPr>
      <w:r>
        <w:rPr>
          <w:rStyle w:val="FootnoteReference"/>
        </w:rPr>
        <w:footnoteRef/>
      </w:r>
      <w:r>
        <w:t xml:space="preserve"> </w:t>
      </w:r>
      <w:r w:rsidR="00295058">
        <w:rPr>
          <w:lang w:val="en-US"/>
        </w:rPr>
        <w:t>Royal Commission Into Violence, Abuse, Neglect and Exploitation, above n 15,</w:t>
      </w:r>
      <w:r w:rsidR="003045C8">
        <w:rPr>
          <w:lang w:val="en-US"/>
        </w:rPr>
        <w:t xml:space="preserve"> 73</w:t>
      </w:r>
    </w:p>
  </w:footnote>
  <w:footnote w:id="21">
    <w:p w14:paraId="175691D7" w14:textId="04C18C31" w:rsidR="00F85373" w:rsidRPr="00F85373" w:rsidRDefault="00F85373">
      <w:pPr>
        <w:pStyle w:val="FootnoteText"/>
        <w:rPr>
          <w:lang w:val="en-US"/>
        </w:rPr>
      </w:pPr>
      <w:r>
        <w:rPr>
          <w:rStyle w:val="FootnoteReference"/>
        </w:rPr>
        <w:footnoteRef/>
      </w:r>
      <w:r>
        <w:t xml:space="preserve"> </w:t>
      </w:r>
      <w:r>
        <w:rPr>
          <w:color w:val="000000"/>
        </w:rPr>
        <w:t xml:space="preserve">National Ethnic Disability Alliance, Federation of Ethnic Communities’ Councils of Australia and People with Disability Australia, Submission in response to </w:t>
      </w:r>
      <w:r>
        <w:rPr>
          <w:i/>
          <w:iCs/>
          <w:color w:val="000000"/>
        </w:rPr>
        <w:t>The experiences of culturally and linguistically diverse people with disability issues paper</w:t>
      </w:r>
      <w:r>
        <w:rPr>
          <w:color w:val="000000"/>
        </w:rPr>
        <w:t>, 2 November 2021, ISS.001.00719, p 20.</w:t>
      </w:r>
    </w:p>
  </w:footnote>
  <w:footnote w:id="22">
    <w:p w14:paraId="36F92040" w14:textId="1209D0B5" w:rsidR="00FC46B6" w:rsidRPr="00FC46B6" w:rsidRDefault="00FC46B6">
      <w:pPr>
        <w:pStyle w:val="FootnoteText"/>
        <w:rPr>
          <w:lang w:val="en-US"/>
        </w:rPr>
      </w:pPr>
      <w:r>
        <w:rPr>
          <w:rStyle w:val="FootnoteReference"/>
        </w:rPr>
        <w:footnoteRef/>
      </w:r>
      <w:r>
        <w:t xml:space="preserve"> </w:t>
      </w:r>
      <w:r>
        <w:rPr>
          <w:lang w:val="en-US"/>
        </w:rPr>
        <w:t>Ibid.</w:t>
      </w:r>
    </w:p>
  </w:footnote>
  <w:footnote w:id="23">
    <w:p w14:paraId="2C3BFB99" w14:textId="4B1B8BF9" w:rsidR="004C0101" w:rsidRPr="004C0101" w:rsidRDefault="004C0101">
      <w:pPr>
        <w:pStyle w:val="FootnoteText"/>
        <w:rPr>
          <w:lang w:val="en-US"/>
        </w:rPr>
      </w:pPr>
      <w:r>
        <w:rPr>
          <w:rStyle w:val="FootnoteReference"/>
        </w:rPr>
        <w:footnoteRef/>
      </w:r>
      <w:r>
        <w:t xml:space="preserve"> </w:t>
      </w:r>
      <w:r>
        <w:rPr>
          <w:lang w:val="en-US"/>
        </w:rPr>
        <w:t>Ibid.</w:t>
      </w:r>
    </w:p>
  </w:footnote>
  <w:footnote w:id="24">
    <w:p w14:paraId="6A3AC929" w14:textId="1B66AA15" w:rsidR="00326414" w:rsidRPr="00326414" w:rsidRDefault="00326414">
      <w:pPr>
        <w:pStyle w:val="FootnoteText"/>
        <w:rPr>
          <w:lang w:val="en-US"/>
        </w:rPr>
      </w:pPr>
      <w:r>
        <w:rPr>
          <w:rStyle w:val="FootnoteReference"/>
        </w:rPr>
        <w:footnoteRef/>
      </w:r>
      <w:r>
        <w:t xml:space="preserve"> </w:t>
      </w:r>
      <w:r w:rsidR="000B3D63">
        <w:rPr>
          <w:lang w:val="en-US"/>
        </w:rPr>
        <w:t>Royal Commission Into Violence, Abuse, Neglect and Exploitation, Final Report, above n 4, 23.</w:t>
      </w:r>
    </w:p>
  </w:footnote>
  <w:footnote w:id="25">
    <w:p w14:paraId="33905CA4" w14:textId="4C698647" w:rsidR="00655535" w:rsidRPr="00655535" w:rsidRDefault="00655535">
      <w:pPr>
        <w:pStyle w:val="FootnoteText"/>
        <w:rPr>
          <w:lang w:val="en-US"/>
        </w:rPr>
      </w:pPr>
      <w:r>
        <w:rPr>
          <w:rStyle w:val="FootnoteReference"/>
        </w:rPr>
        <w:footnoteRef/>
      </w:r>
      <w:r>
        <w:t xml:space="preserve"> </w:t>
      </w:r>
      <w:r>
        <w:rPr>
          <w:rStyle w:val="normaltextrun"/>
          <w:rFonts w:ascii="Calibri" w:hAnsi="Calibri" w:cs="Calibri"/>
          <w:color w:val="000000"/>
          <w:shd w:val="clear" w:color="auto" w:fill="FFFFFF"/>
        </w:rPr>
        <w:t>Bhabha, F. (2021). Advancing Disability Equality Through Supported Decision-Making: The CRPD and the Canadian Constitution. In M. Stein, F. Mahomed, V. Patel, &amp; C. Sunkel (Eds.), Mental Health, Legal Capacity, and Human Rights (pp. 140-154). Cambridge: Cambridge University Press.</w:t>
      </w:r>
      <w:r>
        <w:rPr>
          <w:rStyle w:val="eop"/>
          <w:rFonts w:ascii="Calibri" w:hAnsi="Calibri" w:cs="Calibri"/>
          <w:color w:val="000000"/>
          <w:shd w:val="clear" w:color="auto" w:fill="FFFFFF"/>
        </w:rPr>
        <w:t> </w:t>
      </w:r>
    </w:p>
  </w:footnote>
  <w:footnote w:id="26">
    <w:p w14:paraId="4641A4AF" w14:textId="2E70E40D" w:rsidR="00B71240" w:rsidRPr="00B71240" w:rsidRDefault="00B71240">
      <w:pPr>
        <w:pStyle w:val="FootnoteText"/>
        <w:rPr>
          <w:lang w:val="en-US"/>
        </w:rPr>
      </w:pPr>
      <w:r>
        <w:rPr>
          <w:rStyle w:val="FootnoteReference"/>
        </w:rPr>
        <w:footnoteRef/>
      </w:r>
      <w:r>
        <w:t xml:space="preserve"> </w:t>
      </w:r>
      <w:r>
        <w:rPr>
          <w:lang w:val="en-US"/>
        </w:rPr>
        <w:t>Ibid 22.</w:t>
      </w:r>
    </w:p>
  </w:footnote>
  <w:footnote w:id="27">
    <w:p w14:paraId="59A6D0DA" w14:textId="06FCA5F5" w:rsidR="00195E36" w:rsidRPr="00195E36" w:rsidRDefault="00195E36">
      <w:pPr>
        <w:pStyle w:val="FootnoteText"/>
        <w:rPr>
          <w:lang w:val="en-US"/>
        </w:rPr>
      </w:pPr>
      <w:r>
        <w:rPr>
          <w:rStyle w:val="FootnoteReference"/>
        </w:rPr>
        <w:footnoteRef/>
      </w:r>
      <w:r>
        <w:t xml:space="preserve"> </w:t>
      </w:r>
      <w:r>
        <w:rPr>
          <w:lang w:val="en-US"/>
        </w:rPr>
        <w:t>Ibid 178.</w:t>
      </w:r>
    </w:p>
  </w:footnote>
  <w:footnote w:id="28">
    <w:p w14:paraId="582712B6" w14:textId="2310F681" w:rsidR="00EB7E9C" w:rsidRPr="00EB7E9C" w:rsidRDefault="00EB7E9C">
      <w:pPr>
        <w:pStyle w:val="FootnoteText"/>
        <w:rPr>
          <w:lang w:val="en-US"/>
        </w:rPr>
      </w:pPr>
      <w:r>
        <w:rPr>
          <w:rStyle w:val="FootnoteReference"/>
        </w:rPr>
        <w:footnoteRef/>
      </w:r>
      <w:r>
        <w:t xml:space="preserve"> </w:t>
      </w:r>
      <w:r>
        <w:rPr>
          <w:rStyle w:val="normaltextrun"/>
          <w:rFonts w:ascii="Calibri" w:hAnsi="Calibri" w:cs="Calibri"/>
          <w:color w:val="000000"/>
          <w:shd w:val="clear" w:color="auto" w:fill="FFFFFF"/>
        </w:rPr>
        <w:t> </w:t>
      </w:r>
      <w:r>
        <w:rPr>
          <w:rStyle w:val="normaltextrun"/>
          <w:rFonts w:ascii="Calibri" w:hAnsi="Calibri" w:cs="Calibri"/>
          <w:i/>
          <w:iCs/>
          <w:color w:val="000000"/>
          <w:shd w:val="clear" w:color="auto" w:fill="FFFFFF"/>
        </w:rPr>
        <w:t>Roche v Roche</w:t>
      </w:r>
      <w:r>
        <w:rPr>
          <w:rStyle w:val="normaltextrun"/>
          <w:rFonts w:ascii="Calibri" w:hAnsi="Calibri" w:cs="Calibri"/>
          <w:color w:val="000000"/>
          <w:shd w:val="clear" w:color="auto" w:fill="FFFFFF"/>
        </w:rPr>
        <w:t> [2017] SASC 8, [17].</w:t>
      </w:r>
    </w:p>
  </w:footnote>
  <w:footnote w:id="29">
    <w:p w14:paraId="7B0CF76F" w14:textId="0DBD2E74" w:rsidR="00A04B30" w:rsidRPr="00A04B30" w:rsidRDefault="00A04B30">
      <w:pPr>
        <w:pStyle w:val="FootnoteText"/>
        <w:rPr>
          <w:lang w:val="en-US"/>
        </w:rPr>
      </w:pPr>
      <w:r>
        <w:rPr>
          <w:rStyle w:val="FootnoteReference"/>
        </w:rPr>
        <w:footnoteRef/>
      </w:r>
      <w:r>
        <w:t xml:space="preserve"> </w:t>
      </w:r>
      <w:r>
        <w:rPr>
          <w:rStyle w:val="normaltextrun"/>
          <w:rFonts w:ascii="Calibri" w:hAnsi="Calibri" w:cs="Calibri"/>
          <w:color w:val="000000"/>
          <w:bdr w:val="none" w:sz="0" w:space="0" w:color="auto" w:frame="1"/>
        </w:rPr>
        <w:t>Kenneth Shulman et al, ‘Banks v Goodfellow (1870): Time to Update the Test for Testamentary Capacity’ (2017) 95(1) Canadian Bar Review 251, 253.</w:t>
      </w:r>
    </w:p>
  </w:footnote>
  <w:footnote w:id="30">
    <w:p w14:paraId="37145E56" w14:textId="778893FE" w:rsidR="00CE09CC" w:rsidRPr="00CE09CC" w:rsidRDefault="00CE09CC">
      <w:pPr>
        <w:pStyle w:val="FootnoteText"/>
        <w:rPr>
          <w:lang w:val="en-US"/>
        </w:rPr>
      </w:pPr>
      <w:r>
        <w:rPr>
          <w:rStyle w:val="FootnoteReference"/>
        </w:rPr>
        <w:footnoteRef/>
      </w:r>
      <w:r>
        <w:t xml:space="preserve"> </w:t>
      </w:r>
      <w:r w:rsidR="004707B7">
        <w:rPr>
          <w:lang w:val="en-US"/>
        </w:rPr>
        <w:t>Royal Commission Into Violence, Abuse, Neglect and Exploitation, above n 15, 184.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5A6D"/>
    <w:multiLevelType w:val="multilevel"/>
    <w:tmpl w:val="B0E495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FE1502"/>
    <w:multiLevelType w:val="hybridMultilevel"/>
    <w:tmpl w:val="364690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49B44F2"/>
    <w:multiLevelType w:val="hybridMultilevel"/>
    <w:tmpl w:val="919A6C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9493291"/>
    <w:multiLevelType w:val="multilevel"/>
    <w:tmpl w:val="1E2AAB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44343F87"/>
    <w:multiLevelType w:val="multilevel"/>
    <w:tmpl w:val="9CA033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136D8E"/>
    <w:multiLevelType w:val="multilevel"/>
    <w:tmpl w:val="6B32E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9979FA"/>
    <w:multiLevelType w:val="hybridMultilevel"/>
    <w:tmpl w:val="775A1D12"/>
    <w:lvl w:ilvl="0" w:tplc="0C090001">
      <w:start w:val="1"/>
      <w:numFmt w:val="bullet"/>
      <w:lvlText w:val=""/>
      <w:lvlJc w:val="left"/>
      <w:pPr>
        <w:ind w:left="720" w:hanging="360"/>
      </w:pPr>
      <w:rPr>
        <w:rFonts w:ascii="Symbol" w:hAnsi="Symbol" w:hint="default"/>
      </w:rPr>
    </w:lvl>
    <w:lvl w:ilvl="1" w:tplc="90F0C32E">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2911054"/>
    <w:multiLevelType w:val="hybridMultilevel"/>
    <w:tmpl w:val="14D46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1F92461"/>
    <w:multiLevelType w:val="multilevel"/>
    <w:tmpl w:val="C82E0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35109D"/>
    <w:multiLevelType w:val="hybridMultilevel"/>
    <w:tmpl w:val="FAA43266"/>
    <w:lvl w:ilvl="0" w:tplc="0C090001">
      <w:start w:val="1"/>
      <w:numFmt w:val="bullet"/>
      <w:lvlText w:val=""/>
      <w:lvlJc w:val="left"/>
      <w:pPr>
        <w:ind w:left="1440" w:hanging="360"/>
      </w:pPr>
      <w:rPr>
        <w:rFonts w:ascii="Symbol" w:hAnsi="Symbol" w:hint="default"/>
      </w:rPr>
    </w:lvl>
    <w:lvl w:ilvl="1" w:tplc="BF326AEA">
      <w:numFmt w:val="bullet"/>
      <w:lvlText w:val="•"/>
      <w:lvlJc w:val="left"/>
      <w:pPr>
        <w:ind w:left="2160" w:hanging="360"/>
      </w:pPr>
      <w:rPr>
        <w:rFonts w:ascii="Calibri" w:eastAsiaTheme="minorHAnsi" w:hAnsi="Calibri" w:cs="Calibri"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788C5C28"/>
    <w:multiLevelType w:val="hybridMultilevel"/>
    <w:tmpl w:val="26C49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E914729"/>
    <w:multiLevelType w:val="hybridMultilevel"/>
    <w:tmpl w:val="8ABCBA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98789556">
    <w:abstractNumId w:val="8"/>
  </w:num>
  <w:num w:numId="2" w16cid:durableId="1507985989">
    <w:abstractNumId w:val="3"/>
  </w:num>
  <w:num w:numId="3" w16cid:durableId="519470705">
    <w:abstractNumId w:val="4"/>
  </w:num>
  <w:num w:numId="4" w16cid:durableId="1562596100">
    <w:abstractNumId w:val="5"/>
  </w:num>
  <w:num w:numId="5" w16cid:durableId="438187527">
    <w:abstractNumId w:val="0"/>
  </w:num>
  <w:num w:numId="6" w16cid:durableId="1140222563">
    <w:abstractNumId w:val="10"/>
  </w:num>
  <w:num w:numId="7" w16cid:durableId="398090965">
    <w:abstractNumId w:val="6"/>
  </w:num>
  <w:num w:numId="8" w16cid:durableId="2070036316">
    <w:abstractNumId w:val="9"/>
  </w:num>
  <w:num w:numId="9" w16cid:durableId="1313634877">
    <w:abstractNumId w:val="2"/>
  </w:num>
  <w:num w:numId="10" w16cid:durableId="837623130">
    <w:abstractNumId w:val="11"/>
  </w:num>
  <w:num w:numId="11" w16cid:durableId="475144910">
    <w:abstractNumId w:val="7"/>
  </w:num>
  <w:num w:numId="12" w16cid:durableId="880164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ocumentProtection w:edit="readOnly"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F04"/>
    <w:rsid w:val="000008E6"/>
    <w:rsid w:val="00000E06"/>
    <w:rsid w:val="000012AA"/>
    <w:rsid w:val="000068D3"/>
    <w:rsid w:val="000106FD"/>
    <w:rsid w:val="0001292E"/>
    <w:rsid w:val="00015A64"/>
    <w:rsid w:val="0001769E"/>
    <w:rsid w:val="00021A9F"/>
    <w:rsid w:val="00021F14"/>
    <w:rsid w:val="0002382B"/>
    <w:rsid w:val="000253A0"/>
    <w:rsid w:val="00025716"/>
    <w:rsid w:val="00025A84"/>
    <w:rsid w:val="000260D7"/>
    <w:rsid w:val="00026430"/>
    <w:rsid w:val="000274DD"/>
    <w:rsid w:val="00027C3C"/>
    <w:rsid w:val="00027DBE"/>
    <w:rsid w:val="00032E91"/>
    <w:rsid w:val="00033640"/>
    <w:rsid w:val="000353A4"/>
    <w:rsid w:val="00036E60"/>
    <w:rsid w:val="00041124"/>
    <w:rsid w:val="00041512"/>
    <w:rsid w:val="00043E7F"/>
    <w:rsid w:val="00043F5C"/>
    <w:rsid w:val="00044237"/>
    <w:rsid w:val="00046A45"/>
    <w:rsid w:val="000521FE"/>
    <w:rsid w:val="000524F7"/>
    <w:rsid w:val="0005684B"/>
    <w:rsid w:val="00056EAF"/>
    <w:rsid w:val="000611DC"/>
    <w:rsid w:val="00063555"/>
    <w:rsid w:val="00063E9B"/>
    <w:rsid w:val="000654E8"/>
    <w:rsid w:val="000672FB"/>
    <w:rsid w:val="000733E7"/>
    <w:rsid w:val="00074C5F"/>
    <w:rsid w:val="00077A58"/>
    <w:rsid w:val="000802C0"/>
    <w:rsid w:val="00080CD4"/>
    <w:rsid w:val="000818E2"/>
    <w:rsid w:val="0008278B"/>
    <w:rsid w:val="00082AE6"/>
    <w:rsid w:val="0008379F"/>
    <w:rsid w:val="0008498D"/>
    <w:rsid w:val="00084A60"/>
    <w:rsid w:val="00087094"/>
    <w:rsid w:val="00092259"/>
    <w:rsid w:val="00092E7F"/>
    <w:rsid w:val="0009354E"/>
    <w:rsid w:val="000952DF"/>
    <w:rsid w:val="000A1581"/>
    <w:rsid w:val="000A1655"/>
    <w:rsid w:val="000A7D50"/>
    <w:rsid w:val="000B0BB4"/>
    <w:rsid w:val="000B3187"/>
    <w:rsid w:val="000B375C"/>
    <w:rsid w:val="000B3D63"/>
    <w:rsid w:val="000B40D3"/>
    <w:rsid w:val="000B6F40"/>
    <w:rsid w:val="000B74E1"/>
    <w:rsid w:val="000B7ACC"/>
    <w:rsid w:val="000B7D34"/>
    <w:rsid w:val="000C0052"/>
    <w:rsid w:val="000C043B"/>
    <w:rsid w:val="000C2966"/>
    <w:rsid w:val="000C2F6D"/>
    <w:rsid w:val="000C333C"/>
    <w:rsid w:val="000C4473"/>
    <w:rsid w:val="000C49AB"/>
    <w:rsid w:val="000C7AFE"/>
    <w:rsid w:val="000C7D3F"/>
    <w:rsid w:val="000D100A"/>
    <w:rsid w:val="000D3E2E"/>
    <w:rsid w:val="000D6454"/>
    <w:rsid w:val="000D65C5"/>
    <w:rsid w:val="000D75FC"/>
    <w:rsid w:val="000D7C1D"/>
    <w:rsid w:val="000E0103"/>
    <w:rsid w:val="000E0B0B"/>
    <w:rsid w:val="000E16E5"/>
    <w:rsid w:val="000E2B19"/>
    <w:rsid w:val="000E437B"/>
    <w:rsid w:val="000E45D4"/>
    <w:rsid w:val="000E7041"/>
    <w:rsid w:val="000F4864"/>
    <w:rsid w:val="000F69D9"/>
    <w:rsid w:val="000F70C4"/>
    <w:rsid w:val="00100CF7"/>
    <w:rsid w:val="00101551"/>
    <w:rsid w:val="001017FD"/>
    <w:rsid w:val="00102617"/>
    <w:rsid w:val="0010553B"/>
    <w:rsid w:val="0010679E"/>
    <w:rsid w:val="001107FB"/>
    <w:rsid w:val="00112F20"/>
    <w:rsid w:val="00114302"/>
    <w:rsid w:val="00114D8E"/>
    <w:rsid w:val="001166C0"/>
    <w:rsid w:val="00116F3B"/>
    <w:rsid w:val="0012027E"/>
    <w:rsid w:val="001204E3"/>
    <w:rsid w:val="00122F34"/>
    <w:rsid w:val="00123547"/>
    <w:rsid w:val="0012393C"/>
    <w:rsid w:val="0012532A"/>
    <w:rsid w:val="00127E6D"/>
    <w:rsid w:val="00131178"/>
    <w:rsid w:val="001324B0"/>
    <w:rsid w:val="00133463"/>
    <w:rsid w:val="00133A66"/>
    <w:rsid w:val="001340D0"/>
    <w:rsid w:val="001343F3"/>
    <w:rsid w:val="001365A3"/>
    <w:rsid w:val="00137625"/>
    <w:rsid w:val="001408CA"/>
    <w:rsid w:val="00141D96"/>
    <w:rsid w:val="00141F43"/>
    <w:rsid w:val="00144405"/>
    <w:rsid w:val="00145DFC"/>
    <w:rsid w:val="00146C13"/>
    <w:rsid w:val="0014738E"/>
    <w:rsid w:val="00150BD4"/>
    <w:rsid w:val="00153943"/>
    <w:rsid w:val="0015591A"/>
    <w:rsid w:val="00156216"/>
    <w:rsid w:val="00156E3C"/>
    <w:rsid w:val="00160961"/>
    <w:rsid w:val="001616EA"/>
    <w:rsid w:val="00161F82"/>
    <w:rsid w:val="00162FF8"/>
    <w:rsid w:val="00163395"/>
    <w:rsid w:val="00164FDA"/>
    <w:rsid w:val="00167C86"/>
    <w:rsid w:val="00170F57"/>
    <w:rsid w:val="0017126C"/>
    <w:rsid w:val="00173A31"/>
    <w:rsid w:val="0017770C"/>
    <w:rsid w:val="001810DE"/>
    <w:rsid w:val="0018277E"/>
    <w:rsid w:val="00182DCB"/>
    <w:rsid w:val="00185B70"/>
    <w:rsid w:val="00186914"/>
    <w:rsid w:val="00193993"/>
    <w:rsid w:val="00195E36"/>
    <w:rsid w:val="00196ABB"/>
    <w:rsid w:val="00197264"/>
    <w:rsid w:val="00197406"/>
    <w:rsid w:val="001A084C"/>
    <w:rsid w:val="001A0B5E"/>
    <w:rsid w:val="001A3934"/>
    <w:rsid w:val="001A3B77"/>
    <w:rsid w:val="001A5EE6"/>
    <w:rsid w:val="001A7E4E"/>
    <w:rsid w:val="001A7F3B"/>
    <w:rsid w:val="001B0ACD"/>
    <w:rsid w:val="001B1BD7"/>
    <w:rsid w:val="001B272C"/>
    <w:rsid w:val="001B4B91"/>
    <w:rsid w:val="001B4CA8"/>
    <w:rsid w:val="001B758F"/>
    <w:rsid w:val="001B7EC9"/>
    <w:rsid w:val="001C02D4"/>
    <w:rsid w:val="001C1808"/>
    <w:rsid w:val="001C2839"/>
    <w:rsid w:val="001C2C23"/>
    <w:rsid w:val="001C551F"/>
    <w:rsid w:val="001C558D"/>
    <w:rsid w:val="001C58B1"/>
    <w:rsid w:val="001C6311"/>
    <w:rsid w:val="001D0490"/>
    <w:rsid w:val="001D335C"/>
    <w:rsid w:val="001E227C"/>
    <w:rsid w:val="001E4F0A"/>
    <w:rsid w:val="001E66C7"/>
    <w:rsid w:val="001E6BCF"/>
    <w:rsid w:val="001E74CF"/>
    <w:rsid w:val="001F0A53"/>
    <w:rsid w:val="001F1036"/>
    <w:rsid w:val="001F2596"/>
    <w:rsid w:val="001F3CBD"/>
    <w:rsid w:val="001F46D6"/>
    <w:rsid w:val="001F6B79"/>
    <w:rsid w:val="0020206E"/>
    <w:rsid w:val="00203246"/>
    <w:rsid w:val="00204148"/>
    <w:rsid w:val="00204165"/>
    <w:rsid w:val="002054EB"/>
    <w:rsid w:val="002073F9"/>
    <w:rsid w:val="00211763"/>
    <w:rsid w:val="00213FE4"/>
    <w:rsid w:val="0021497C"/>
    <w:rsid w:val="00217540"/>
    <w:rsid w:val="002176F9"/>
    <w:rsid w:val="00220097"/>
    <w:rsid w:val="00220E94"/>
    <w:rsid w:val="00221233"/>
    <w:rsid w:val="00223944"/>
    <w:rsid w:val="00224C66"/>
    <w:rsid w:val="0022540B"/>
    <w:rsid w:val="00233AF4"/>
    <w:rsid w:val="00233D3B"/>
    <w:rsid w:val="00236A82"/>
    <w:rsid w:val="00237BC2"/>
    <w:rsid w:val="00241C8F"/>
    <w:rsid w:val="002426F9"/>
    <w:rsid w:val="00243C4C"/>
    <w:rsid w:val="00244041"/>
    <w:rsid w:val="00244D2D"/>
    <w:rsid w:val="002458AB"/>
    <w:rsid w:val="00247E9C"/>
    <w:rsid w:val="00251A4C"/>
    <w:rsid w:val="00251D4A"/>
    <w:rsid w:val="0025246A"/>
    <w:rsid w:val="0025252A"/>
    <w:rsid w:val="00253D85"/>
    <w:rsid w:val="00254EA9"/>
    <w:rsid w:val="0025633C"/>
    <w:rsid w:val="002566E6"/>
    <w:rsid w:val="00257B44"/>
    <w:rsid w:val="00261429"/>
    <w:rsid w:val="002617F4"/>
    <w:rsid w:val="0026605B"/>
    <w:rsid w:val="00267214"/>
    <w:rsid w:val="00271F1C"/>
    <w:rsid w:val="00272DE8"/>
    <w:rsid w:val="00275127"/>
    <w:rsid w:val="0027567A"/>
    <w:rsid w:val="00276A5C"/>
    <w:rsid w:val="002773C1"/>
    <w:rsid w:val="002774C2"/>
    <w:rsid w:val="00277658"/>
    <w:rsid w:val="00277774"/>
    <w:rsid w:val="0028005B"/>
    <w:rsid w:val="00281114"/>
    <w:rsid w:val="00281709"/>
    <w:rsid w:val="0028278B"/>
    <w:rsid w:val="00285239"/>
    <w:rsid w:val="00285EC1"/>
    <w:rsid w:val="00285FA2"/>
    <w:rsid w:val="002915D5"/>
    <w:rsid w:val="00291E4E"/>
    <w:rsid w:val="00291F5A"/>
    <w:rsid w:val="00295058"/>
    <w:rsid w:val="00295162"/>
    <w:rsid w:val="00295806"/>
    <w:rsid w:val="002961F9"/>
    <w:rsid w:val="0029709E"/>
    <w:rsid w:val="00297BA0"/>
    <w:rsid w:val="002A017A"/>
    <w:rsid w:val="002A2432"/>
    <w:rsid w:val="002A37F9"/>
    <w:rsid w:val="002A3A6C"/>
    <w:rsid w:val="002A3ABF"/>
    <w:rsid w:val="002A4B93"/>
    <w:rsid w:val="002A5246"/>
    <w:rsid w:val="002A7483"/>
    <w:rsid w:val="002A7590"/>
    <w:rsid w:val="002A7B1D"/>
    <w:rsid w:val="002B0F81"/>
    <w:rsid w:val="002B3C18"/>
    <w:rsid w:val="002B3D28"/>
    <w:rsid w:val="002B3DEE"/>
    <w:rsid w:val="002B3E94"/>
    <w:rsid w:val="002B49B4"/>
    <w:rsid w:val="002D0455"/>
    <w:rsid w:val="002D10D5"/>
    <w:rsid w:val="002D6EC2"/>
    <w:rsid w:val="002D7284"/>
    <w:rsid w:val="002E2E0F"/>
    <w:rsid w:val="002E421E"/>
    <w:rsid w:val="002E4DE9"/>
    <w:rsid w:val="002E6088"/>
    <w:rsid w:val="002E60B7"/>
    <w:rsid w:val="002E653D"/>
    <w:rsid w:val="002E6A62"/>
    <w:rsid w:val="002F137C"/>
    <w:rsid w:val="002F3270"/>
    <w:rsid w:val="002F4705"/>
    <w:rsid w:val="002F4D9C"/>
    <w:rsid w:val="002F5304"/>
    <w:rsid w:val="002F770E"/>
    <w:rsid w:val="00300F5D"/>
    <w:rsid w:val="00301697"/>
    <w:rsid w:val="003018D6"/>
    <w:rsid w:val="0030386E"/>
    <w:rsid w:val="003045C8"/>
    <w:rsid w:val="00306697"/>
    <w:rsid w:val="003101E5"/>
    <w:rsid w:val="003108DE"/>
    <w:rsid w:val="00310A5C"/>
    <w:rsid w:val="00310DA9"/>
    <w:rsid w:val="00311DD6"/>
    <w:rsid w:val="0031508A"/>
    <w:rsid w:val="00320863"/>
    <w:rsid w:val="003212FB"/>
    <w:rsid w:val="00321693"/>
    <w:rsid w:val="00322599"/>
    <w:rsid w:val="00323F4D"/>
    <w:rsid w:val="00324221"/>
    <w:rsid w:val="00324B87"/>
    <w:rsid w:val="00325349"/>
    <w:rsid w:val="00325A27"/>
    <w:rsid w:val="00326414"/>
    <w:rsid w:val="00326D06"/>
    <w:rsid w:val="003301E8"/>
    <w:rsid w:val="003306D1"/>
    <w:rsid w:val="0033194D"/>
    <w:rsid w:val="003372AB"/>
    <w:rsid w:val="0034795B"/>
    <w:rsid w:val="00347DBA"/>
    <w:rsid w:val="00347E01"/>
    <w:rsid w:val="00350A96"/>
    <w:rsid w:val="0035658A"/>
    <w:rsid w:val="003577A6"/>
    <w:rsid w:val="00357B74"/>
    <w:rsid w:val="003600DC"/>
    <w:rsid w:val="00362612"/>
    <w:rsid w:val="0036315B"/>
    <w:rsid w:val="00364094"/>
    <w:rsid w:val="003728FF"/>
    <w:rsid w:val="00373CA0"/>
    <w:rsid w:val="00373E57"/>
    <w:rsid w:val="00374FCB"/>
    <w:rsid w:val="00380F0B"/>
    <w:rsid w:val="00380FA9"/>
    <w:rsid w:val="00383567"/>
    <w:rsid w:val="003858C8"/>
    <w:rsid w:val="00385DC4"/>
    <w:rsid w:val="003871AC"/>
    <w:rsid w:val="00387469"/>
    <w:rsid w:val="0039139A"/>
    <w:rsid w:val="003971A7"/>
    <w:rsid w:val="003A0D20"/>
    <w:rsid w:val="003A0F87"/>
    <w:rsid w:val="003A33C6"/>
    <w:rsid w:val="003A7320"/>
    <w:rsid w:val="003B002C"/>
    <w:rsid w:val="003B1294"/>
    <w:rsid w:val="003B2A1D"/>
    <w:rsid w:val="003B3264"/>
    <w:rsid w:val="003B4BD7"/>
    <w:rsid w:val="003B59CA"/>
    <w:rsid w:val="003C073E"/>
    <w:rsid w:val="003C1EDA"/>
    <w:rsid w:val="003D14AA"/>
    <w:rsid w:val="003D5958"/>
    <w:rsid w:val="003D7149"/>
    <w:rsid w:val="003E09E4"/>
    <w:rsid w:val="003E3C5D"/>
    <w:rsid w:val="003E3FAB"/>
    <w:rsid w:val="003E433B"/>
    <w:rsid w:val="003E50D5"/>
    <w:rsid w:val="003E6EEA"/>
    <w:rsid w:val="003F028A"/>
    <w:rsid w:val="003F0C43"/>
    <w:rsid w:val="003F1357"/>
    <w:rsid w:val="003F2D3F"/>
    <w:rsid w:val="003F342E"/>
    <w:rsid w:val="003F3B24"/>
    <w:rsid w:val="003F3FC4"/>
    <w:rsid w:val="00401434"/>
    <w:rsid w:val="004058A8"/>
    <w:rsid w:val="00405C34"/>
    <w:rsid w:val="00406FE1"/>
    <w:rsid w:val="004079D4"/>
    <w:rsid w:val="00407CD6"/>
    <w:rsid w:val="00407E80"/>
    <w:rsid w:val="004110B2"/>
    <w:rsid w:val="004116F2"/>
    <w:rsid w:val="004133F2"/>
    <w:rsid w:val="0041360B"/>
    <w:rsid w:val="00415BA9"/>
    <w:rsid w:val="00417A0C"/>
    <w:rsid w:val="00421CD2"/>
    <w:rsid w:val="00422D3A"/>
    <w:rsid w:val="00424C98"/>
    <w:rsid w:val="0042606D"/>
    <w:rsid w:val="004268A3"/>
    <w:rsid w:val="00427062"/>
    <w:rsid w:val="00427334"/>
    <w:rsid w:val="004310BA"/>
    <w:rsid w:val="004325A1"/>
    <w:rsid w:val="00432828"/>
    <w:rsid w:val="00433A07"/>
    <w:rsid w:val="00443B80"/>
    <w:rsid w:val="004467D1"/>
    <w:rsid w:val="00447008"/>
    <w:rsid w:val="00450E54"/>
    <w:rsid w:val="0045238A"/>
    <w:rsid w:val="004530B0"/>
    <w:rsid w:val="00454ECE"/>
    <w:rsid w:val="00456745"/>
    <w:rsid w:val="00460BCA"/>
    <w:rsid w:val="004615D9"/>
    <w:rsid w:val="0046199B"/>
    <w:rsid w:val="00466212"/>
    <w:rsid w:val="00470488"/>
    <w:rsid w:val="004707B7"/>
    <w:rsid w:val="004709C5"/>
    <w:rsid w:val="00470D5F"/>
    <w:rsid w:val="00471321"/>
    <w:rsid w:val="004719AA"/>
    <w:rsid w:val="004748C9"/>
    <w:rsid w:val="00481821"/>
    <w:rsid w:val="00482602"/>
    <w:rsid w:val="0048512F"/>
    <w:rsid w:val="0048537D"/>
    <w:rsid w:val="00486D83"/>
    <w:rsid w:val="0049151D"/>
    <w:rsid w:val="00492426"/>
    <w:rsid w:val="00492EDE"/>
    <w:rsid w:val="0049354A"/>
    <w:rsid w:val="00495D38"/>
    <w:rsid w:val="0049659C"/>
    <w:rsid w:val="00497A2F"/>
    <w:rsid w:val="004A02E1"/>
    <w:rsid w:val="004A0C3A"/>
    <w:rsid w:val="004A33F6"/>
    <w:rsid w:val="004A413A"/>
    <w:rsid w:val="004A478D"/>
    <w:rsid w:val="004A552C"/>
    <w:rsid w:val="004A6491"/>
    <w:rsid w:val="004A7DA2"/>
    <w:rsid w:val="004B07F9"/>
    <w:rsid w:val="004B16D7"/>
    <w:rsid w:val="004B1CEF"/>
    <w:rsid w:val="004B28FD"/>
    <w:rsid w:val="004B2E48"/>
    <w:rsid w:val="004B60B6"/>
    <w:rsid w:val="004B72CC"/>
    <w:rsid w:val="004B768F"/>
    <w:rsid w:val="004B7D53"/>
    <w:rsid w:val="004C0101"/>
    <w:rsid w:val="004C35E3"/>
    <w:rsid w:val="004C362A"/>
    <w:rsid w:val="004C3C0D"/>
    <w:rsid w:val="004C6AA9"/>
    <w:rsid w:val="004D0292"/>
    <w:rsid w:val="004D02E2"/>
    <w:rsid w:val="004D322B"/>
    <w:rsid w:val="004D5A3E"/>
    <w:rsid w:val="004E1F3E"/>
    <w:rsid w:val="004E4455"/>
    <w:rsid w:val="004E5416"/>
    <w:rsid w:val="004E7AF1"/>
    <w:rsid w:val="004F03BA"/>
    <w:rsid w:val="004F13E3"/>
    <w:rsid w:val="004F277C"/>
    <w:rsid w:val="004F4949"/>
    <w:rsid w:val="004F6552"/>
    <w:rsid w:val="004F66BF"/>
    <w:rsid w:val="004F6C69"/>
    <w:rsid w:val="005019ED"/>
    <w:rsid w:val="00502859"/>
    <w:rsid w:val="00503903"/>
    <w:rsid w:val="005041A0"/>
    <w:rsid w:val="0050797A"/>
    <w:rsid w:val="00507995"/>
    <w:rsid w:val="005108B0"/>
    <w:rsid w:val="00511596"/>
    <w:rsid w:val="00514635"/>
    <w:rsid w:val="005152FB"/>
    <w:rsid w:val="005169A6"/>
    <w:rsid w:val="005174A6"/>
    <w:rsid w:val="00520144"/>
    <w:rsid w:val="0052041B"/>
    <w:rsid w:val="00521781"/>
    <w:rsid w:val="005232B8"/>
    <w:rsid w:val="00523B86"/>
    <w:rsid w:val="005255CE"/>
    <w:rsid w:val="00525F32"/>
    <w:rsid w:val="005317A6"/>
    <w:rsid w:val="005329D9"/>
    <w:rsid w:val="00532C65"/>
    <w:rsid w:val="0053577B"/>
    <w:rsid w:val="00537891"/>
    <w:rsid w:val="00537B1D"/>
    <w:rsid w:val="00540C8F"/>
    <w:rsid w:val="005431BD"/>
    <w:rsid w:val="00554552"/>
    <w:rsid w:val="00554D97"/>
    <w:rsid w:val="005552D3"/>
    <w:rsid w:val="00555357"/>
    <w:rsid w:val="00556388"/>
    <w:rsid w:val="005574CF"/>
    <w:rsid w:val="00557532"/>
    <w:rsid w:val="00561300"/>
    <w:rsid w:val="0056260D"/>
    <w:rsid w:val="00562DC9"/>
    <w:rsid w:val="00563974"/>
    <w:rsid w:val="005655C5"/>
    <w:rsid w:val="0056689B"/>
    <w:rsid w:val="005706E6"/>
    <w:rsid w:val="00570742"/>
    <w:rsid w:val="00572225"/>
    <w:rsid w:val="00573615"/>
    <w:rsid w:val="00573C3D"/>
    <w:rsid w:val="00574B38"/>
    <w:rsid w:val="00574B4D"/>
    <w:rsid w:val="00575F19"/>
    <w:rsid w:val="00576452"/>
    <w:rsid w:val="00576C70"/>
    <w:rsid w:val="00577692"/>
    <w:rsid w:val="00577CB1"/>
    <w:rsid w:val="0058443C"/>
    <w:rsid w:val="0058511A"/>
    <w:rsid w:val="00585A55"/>
    <w:rsid w:val="00586734"/>
    <w:rsid w:val="005912E1"/>
    <w:rsid w:val="00592613"/>
    <w:rsid w:val="00596491"/>
    <w:rsid w:val="00597161"/>
    <w:rsid w:val="005A3500"/>
    <w:rsid w:val="005A7276"/>
    <w:rsid w:val="005B000A"/>
    <w:rsid w:val="005B04CC"/>
    <w:rsid w:val="005B0774"/>
    <w:rsid w:val="005B1329"/>
    <w:rsid w:val="005C03E7"/>
    <w:rsid w:val="005C1AFE"/>
    <w:rsid w:val="005C396A"/>
    <w:rsid w:val="005C426A"/>
    <w:rsid w:val="005C5BB9"/>
    <w:rsid w:val="005D49B4"/>
    <w:rsid w:val="005D5670"/>
    <w:rsid w:val="005D787B"/>
    <w:rsid w:val="005D7B64"/>
    <w:rsid w:val="005E0115"/>
    <w:rsid w:val="005E02CB"/>
    <w:rsid w:val="005E0DF0"/>
    <w:rsid w:val="005E21E0"/>
    <w:rsid w:val="005E22D0"/>
    <w:rsid w:val="005F2479"/>
    <w:rsid w:val="005F267B"/>
    <w:rsid w:val="005F64E0"/>
    <w:rsid w:val="006014B4"/>
    <w:rsid w:val="00603643"/>
    <w:rsid w:val="00606179"/>
    <w:rsid w:val="00607166"/>
    <w:rsid w:val="006076F4"/>
    <w:rsid w:val="006118BD"/>
    <w:rsid w:val="00611C14"/>
    <w:rsid w:val="00613B72"/>
    <w:rsid w:val="00613DE6"/>
    <w:rsid w:val="006147F5"/>
    <w:rsid w:val="00616280"/>
    <w:rsid w:val="00620A16"/>
    <w:rsid w:val="006243CF"/>
    <w:rsid w:val="006278F8"/>
    <w:rsid w:val="00627E0E"/>
    <w:rsid w:val="00632E04"/>
    <w:rsid w:val="00635AC2"/>
    <w:rsid w:val="0063612C"/>
    <w:rsid w:val="00645DC0"/>
    <w:rsid w:val="0064686F"/>
    <w:rsid w:val="00646F92"/>
    <w:rsid w:val="00647FB1"/>
    <w:rsid w:val="00651EFC"/>
    <w:rsid w:val="0065262A"/>
    <w:rsid w:val="00655535"/>
    <w:rsid w:val="006562E7"/>
    <w:rsid w:val="00656FBA"/>
    <w:rsid w:val="006578D7"/>
    <w:rsid w:val="00661C7F"/>
    <w:rsid w:val="00662EB7"/>
    <w:rsid w:val="00667372"/>
    <w:rsid w:val="0067096E"/>
    <w:rsid w:val="0067254A"/>
    <w:rsid w:val="00677C70"/>
    <w:rsid w:val="006819C1"/>
    <w:rsid w:val="00682F5E"/>
    <w:rsid w:val="0068653D"/>
    <w:rsid w:val="0069118E"/>
    <w:rsid w:val="00695E3C"/>
    <w:rsid w:val="006972D2"/>
    <w:rsid w:val="006A227A"/>
    <w:rsid w:val="006A2C36"/>
    <w:rsid w:val="006A3533"/>
    <w:rsid w:val="006A3BD3"/>
    <w:rsid w:val="006A596D"/>
    <w:rsid w:val="006C3AE8"/>
    <w:rsid w:val="006C4902"/>
    <w:rsid w:val="006E02D9"/>
    <w:rsid w:val="006E03A7"/>
    <w:rsid w:val="006E5B80"/>
    <w:rsid w:val="006E7578"/>
    <w:rsid w:val="006F0633"/>
    <w:rsid w:val="006F1229"/>
    <w:rsid w:val="006F7D30"/>
    <w:rsid w:val="00700889"/>
    <w:rsid w:val="00711952"/>
    <w:rsid w:val="00711BBA"/>
    <w:rsid w:val="0071264D"/>
    <w:rsid w:val="00713357"/>
    <w:rsid w:val="0071601A"/>
    <w:rsid w:val="0071705F"/>
    <w:rsid w:val="00717086"/>
    <w:rsid w:val="007170A0"/>
    <w:rsid w:val="007173C5"/>
    <w:rsid w:val="00717773"/>
    <w:rsid w:val="007212C4"/>
    <w:rsid w:val="007214C9"/>
    <w:rsid w:val="00726D3B"/>
    <w:rsid w:val="00730485"/>
    <w:rsid w:val="00733D16"/>
    <w:rsid w:val="0073415B"/>
    <w:rsid w:val="0073565B"/>
    <w:rsid w:val="007371E9"/>
    <w:rsid w:val="0074010C"/>
    <w:rsid w:val="00742B31"/>
    <w:rsid w:val="00742FC4"/>
    <w:rsid w:val="00744275"/>
    <w:rsid w:val="007500DA"/>
    <w:rsid w:val="0075107E"/>
    <w:rsid w:val="00753312"/>
    <w:rsid w:val="00756337"/>
    <w:rsid w:val="00757D4C"/>
    <w:rsid w:val="007607A8"/>
    <w:rsid w:val="00772AF1"/>
    <w:rsid w:val="007739A1"/>
    <w:rsid w:val="00775534"/>
    <w:rsid w:val="0077670A"/>
    <w:rsid w:val="00776E11"/>
    <w:rsid w:val="0078094E"/>
    <w:rsid w:val="0078189C"/>
    <w:rsid w:val="00784A45"/>
    <w:rsid w:val="00785CB7"/>
    <w:rsid w:val="007869B6"/>
    <w:rsid w:val="00790F92"/>
    <w:rsid w:val="007912A9"/>
    <w:rsid w:val="007919E7"/>
    <w:rsid w:val="0079327A"/>
    <w:rsid w:val="00794A74"/>
    <w:rsid w:val="00794F03"/>
    <w:rsid w:val="00796D76"/>
    <w:rsid w:val="007A0939"/>
    <w:rsid w:val="007A299A"/>
    <w:rsid w:val="007A2A20"/>
    <w:rsid w:val="007A3CD1"/>
    <w:rsid w:val="007B2E23"/>
    <w:rsid w:val="007B40C9"/>
    <w:rsid w:val="007C0F62"/>
    <w:rsid w:val="007C193D"/>
    <w:rsid w:val="007C2FB3"/>
    <w:rsid w:val="007C391A"/>
    <w:rsid w:val="007C4575"/>
    <w:rsid w:val="007D01AC"/>
    <w:rsid w:val="007D058D"/>
    <w:rsid w:val="007D115C"/>
    <w:rsid w:val="007D1CF6"/>
    <w:rsid w:val="007D5E80"/>
    <w:rsid w:val="007D6B46"/>
    <w:rsid w:val="007D7B4F"/>
    <w:rsid w:val="007E3EE3"/>
    <w:rsid w:val="007F04D6"/>
    <w:rsid w:val="007F2DF3"/>
    <w:rsid w:val="007F3C8D"/>
    <w:rsid w:val="007F5B18"/>
    <w:rsid w:val="007F6178"/>
    <w:rsid w:val="007F6246"/>
    <w:rsid w:val="00803D3A"/>
    <w:rsid w:val="008040CB"/>
    <w:rsid w:val="00804FC7"/>
    <w:rsid w:val="008119B8"/>
    <w:rsid w:val="00813BD5"/>
    <w:rsid w:val="00813CF0"/>
    <w:rsid w:val="00817498"/>
    <w:rsid w:val="0081758F"/>
    <w:rsid w:val="00817BAC"/>
    <w:rsid w:val="00817FE2"/>
    <w:rsid w:val="00820442"/>
    <w:rsid w:val="00822789"/>
    <w:rsid w:val="00823169"/>
    <w:rsid w:val="0082495B"/>
    <w:rsid w:val="00824B34"/>
    <w:rsid w:val="00824C20"/>
    <w:rsid w:val="00824D4A"/>
    <w:rsid w:val="00827D89"/>
    <w:rsid w:val="008335EF"/>
    <w:rsid w:val="0083370C"/>
    <w:rsid w:val="00833FF9"/>
    <w:rsid w:val="008340D7"/>
    <w:rsid w:val="008342C5"/>
    <w:rsid w:val="00834562"/>
    <w:rsid w:val="00834F18"/>
    <w:rsid w:val="00834F84"/>
    <w:rsid w:val="00835D34"/>
    <w:rsid w:val="00836492"/>
    <w:rsid w:val="00836FBE"/>
    <w:rsid w:val="00840459"/>
    <w:rsid w:val="008431E6"/>
    <w:rsid w:val="0084405D"/>
    <w:rsid w:val="0084562A"/>
    <w:rsid w:val="00847A88"/>
    <w:rsid w:val="0085231A"/>
    <w:rsid w:val="00853F80"/>
    <w:rsid w:val="0086132F"/>
    <w:rsid w:val="00862705"/>
    <w:rsid w:val="00862A32"/>
    <w:rsid w:val="00864A36"/>
    <w:rsid w:val="008654C9"/>
    <w:rsid w:val="00865A39"/>
    <w:rsid w:val="008716AC"/>
    <w:rsid w:val="00872EC7"/>
    <w:rsid w:val="00873018"/>
    <w:rsid w:val="00877AAD"/>
    <w:rsid w:val="00881C48"/>
    <w:rsid w:val="00883502"/>
    <w:rsid w:val="00886539"/>
    <w:rsid w:val="0089225F"/>
    <w:rsid w:val="0089227E"/>
    <w:rsid w:val="0089227F"/>
    <w:rsid w:val="00893222"/>
    <w:rsid w:val="008932E7"/>
    <w:rsid w:val="00894100"/>
    <w:rsid w:val="00895C6E"/>
    <w:rsid w:val="008A1B34"/>
    <w:rsid w:val="008A20A2"/>
    <w:rsid w:val="008A22AF"/>
    <w:rsid w:val="008A35EE"/>
    <w:rsid w:val="008A3FFE"/>
    <w:rsid w:val="008A5798"/>
    <w:rsid w:val="008A6170"/>
    <w:rsid w:val="008B14C8"/>
    <w:rsid w:val="008B1A0C"/>
    <w:rsid w:val="008B337D"/>
    <w:rsid w:val="008B3F18"/>
    <w:rsid w:val="008B45DE"/>
    <w:rsid w:val="008B460F"/>
    <w:rsid w:val="008B63E4"/>
    <w:rsid w:val="008B75F9"/>
    <w:rsid w:val="008B7FC9"/>
    <w:rsid w:val="008C11C9"/>
    <w:rsid w:val="008C7994"/>
    <w:rsid w:val="008C7F2A"/>
    <w:rsid w:val="008D0F4F"/>
    <w:rsid w:val="008D2F62"/>
    <w:rsid w:val="008D35E8"/>
    <w:rsid w:val="008D68B0"/>
    <w:rsid w:val="008E0FDF"/>
    <w:rsid w:val="008E23BE"/>
    <w:rsid w:val="008E2E68"/>
    <w:rsid w:val="008E5F91"/>
    <w:rsid w:val="008F103A"/>
    <w:rsid w:val="008F1690"/>
    <w:rsid w:val="008F19C6"/>
    <w:rsid w:val="008F1A74"/>
    <w:rsid w:val="008F2983"/>
    <w:rsid w:val="008F3A17"/>
    <w:rsid w:val="008F47CE"/>
    <w:rsid w:val="008F49C7"/>
    <w:rsid w:val="009013D2"/>
    <w:rsid w:val="00902F45"/>
    <w:rsid w:val="009032B5"/>
    <w:rsid w:val="009037E5"/>
    <w:rsid w:val="00904487"/>
    <w:rsid w:val="00904632"/>
    <w:rsid w:val="00905425"/>
    <w:rsid w:val="00905E67"/>
    <w:rsid w:val="00907C8C"/>
    <w:rsid w:val="00910D22"/>
    <w:rsid w:val="0091143A"/>
    <w:rsid w:val="00911F7A"/>
    <w:rsid w:val="00912BE3"/>
    <w:rsid w:val="009154A1"/>
    <w:rsid w:val="00917801"/>
    <w:rsid w:val="00917A00"/>
    <w:rsid w:val="0092040D"/>
    <w:rsid w:val="00921DCE"/>
    <w:rsid w:val="00923E3A"/>
    <w:rsid w:val="00927237"/>
    <w:rsid w:val="00931326"/>
    <w:rsid w:val="00933580"/>
    <w:rsid w:val="00933820"/>
    <w:rsid w:val="009415F3"/>
    <w:rsid w:val="009427CB"/>
    <w:rsid w:val="009429C7"/>
    <w:rsid w:val="00943C84"/>
    <w:rsid w:val="00945747"/>
    <w:rsid w:val="00945F93"/>
    <w:rsid w:val="009460BC"/>
    <w:rsid w:val="009518EB"/>
    <w:rsid w:val="009523F3"/>
    <w:rsid w:val="0095328B"/>
    <w:rsid w:val="00955D2D"/>
    <w:rsid w:val="0095604F"/>
    <w:rsid w:val="00961A37"/>
    <w:rsid w:val="00961D3B"/>
    <w:rsid w:val="00962276"/>
    <w:rsid w:val="00964B41"/>
    <w:rsid w:val="0096577B"/>
    <w:rsid w:val="00967184"/>
    <w:rsid w:val="00967769"/>
    <w:rsid w:val="00973E3A"/>
    <w:rsid w:val="00975BAA"/>
    <w:rsid w:val="00976489"/>
    <w:rsid w:val="009772A0"/>
    <w:rsid w:val="00977D0C"/>
    <w:rsid w:val="00981AA4"/>
    <w:rsid w:val="00982642"/>
    <w:rsid w:val="00982B36"/>
    <w:rsid w:val="009833E3"/>
    <w:rsid w:val="00985CB6"/>
    <w:rsid w:val="00986C08"/>
    <w:rsid w:val="009946A6"/>
    <w:rsid w:val="0099493F"/>
    <w:rsid w:val="00997524"/>
    <w:rsid w:val="00997A31"/>
    <w:rsid w:val="009A34CA"/>
    <w:rsid w:val="009A6A17"/>
    <w:rsid w:val="009B0F39"/>
    <w:rsid w:val="009B2EEC"/>
    <w:rsid w:val="009B40D5"/>
    <w:rsid w:val="009B4E68"/>
    <w:rsid w:val="009B603F"/>
    <w:rsid w:val="009B6371"/>
    <w:rsid w:val="009B7557"/>
    <w:rsid w:val="009B785B"/>
    <w:rsid w:val="009C17C2"/>
    <w:rsid w:val="009C1A81"/>
    <w:rsid w:val="009C4225"/>
    <w:rsid w:val="009C4270"/>
    <w:rsid w:val="009C4A19"/>
    <w:rsid w:val="009C6A50"/>
    <w:rsid w:val="009C6A80"/>
    <w:rsid w:val="009D053A"/>
    <w:rsid w:val="009D0CF6"/>
    <w:rsid w:val="009D1E75"/>
    <w:rsid w:val="009D2FEB"/>
    <w:rsid w:val="009D3F4F"/>
    <w:rsid w:val="009D50AA"/>
    <w:rsid w:val="009D5274"/>
    <w:rsid w:val="009D6036"/>
    <w:rsid w:val="009E2632"/>
    <w:rsid w:val="009E2FB1"/>
    <w:rsid w:val="009E3C38"/>
    <w:rsid w:val="009E41CB"/>
    <w:rsid w:val="009F11A3"/>
    <w:rsid w:val="009F1C77"/>
    <w:rsid w:val="009F1EAA"/>
    <w:rsid w:val="009F6014"/>
    <w:rsid w:val="00A02217"/>
    <w:rsid w:val="00A024D9"/>
    <w:rsid w:val="00A04364"/>
    <w:rsid w:val="00A04B30"/>
    <w:rsid w:val="00A07DBA"/>
    <w:rsid w:val="00A10735"/>
    <w:rsid w:val="00A10A74"/>
    <w:rsid w:val="00A11ACE"/>
    <w:rsid w:val="00A11F57"/>
    <w:rsid w:val="00A139EB"/>
    <w:rsid w:val="00A16321"/>
    <w:rsid w:val="00A2130E"/>
    <w:rsid w:val="00A22EF3"/>
    <w:rsid w:val="00A25697"/>
    <w:rsid w:val="00A3047C"/>
    <w:rsid w:val="00A3164E"/>
    <w:rsid w:val="00A329B1"/>
    <w:rsid w:val="00A339D3"/>
    <w:rsid w:val="00A3588A"/>
    <w:rsid w:val="00A36368"/>
    <w:rsid w:val="00A37DE7"/>
    <w:rsid w:val="00A408B0"/>
    <w:rsid w:val="00A40EE3"/>
    <w:rsid w:val="00A43200"/>
    <w:rsid w:val="00A44DD8"/>
    <w:rsid w:val="00A6694D"/>
    <w:rsid w:val="00A66F69"/>
    <w:rsid w:val="00A67118"/>
    <w:rsid w:val="00A70BFC"/>
    <w:rsid w:val="00A715F2"/>
    <w:rsid w:val="00A72543"/>
    <w:rsid w:val="00A72AD7"/>
    <w:rsid w:val="00A7537A"/>
    <w:rsid w:val="00A82052"/>
    <w:rsid w:val="00A82DC4"/>
    <w:rsid w:val="00A8326A"/>
    <w:rsid w:val="00A8340E"/>
    <w:rsid w:val="00A83644"/>
    <w:rsid w:val="00A8385F"/>
    <w:rsid w:val="00A842F9"/>
    <w:rsid w:val="00A905A1"/>
    <w:rsid w:val="00A93185"/>
    <w:rsid w:val="00A9622E"/>
    <w:rsid w:val="00AA0629"/>
    <w:rsid w:val="00AA1B7A"/>
    <w:rsid w:val="00AA4702"/>
    <w:rsid w:val="00AA60B6"/>
    <w:rsid w:val="00AB36A9"/>
    <w:rsid w:val="00AB4C1E"/>
    <w:rsid w:val="00AB714A"/>
    <w:rsid w:val="00AC211C"/>
    <w:rsid w:val="00AC2477"/>
    <w:rsid w:val="00AC2A87"/>
    <w:rsid w:val="00AC35B2"/>
    <w:rsid w:val="00AC40EA"/>
    <w:rsid w:val="00AC43D3"/>
    <w:rsid w:val="00AC4C6D"/>
    <w:rsid w:val="00AC7DC1"/>
    <w:rsid w:val="00AD4922"/>
    <w:rsid w:val="00AD7169"/>
    <w:rsid w:val="00AE1341"/>
    <w:rsid w:val="00AE1896"/>
    <w:rsid w:val="00AE3803"/>
    <w:rsid w:val="00AE3D20"/>
    <w:rsid w:val="00AE487E"/>
    <w:rsid w:val="00AE51A6"/>
    <w:rsid w:val="00AE56D0"/>
    <w:rsid w:val="00AE5E53"/>
    <w:rsid w:val="00AE6044"/>
    <w:rsid w:val="00AE712D"/>
    <w:rsid w:val="00AE71B9"/>
    <w:rsid w:val="00AF1A44"/>
    <w:rsid w:val="00AF3F2D"/>
    <w:rsid w:val="00AF4848"/>
    <w:rsid w:val="00AF580E"/>
    <w:rsid w:val="00AF7BF4"/>
    <w:rsid w:val="00B00BD0"/>
    <w:rsid w:val="00B020E1"/>
    <w:rsid w:val="00B02540"/>
    <w:rsid w:val="00B035AA"/>
    <w:rsid w:val="00B03D85"/>
    <w:rsid w:val="00B0402B"/>
    <w:rsid w:val="00B05769"/>
    <w:rsid w:val="00B064E3"/>
    <w:rsid w:val="00B0657F"/>
    <w:rsid w:val="00B13C17"/>
    <w:rsid w:val="00B21ED5"/>
    <w:rsid w:val="00B223F3"/>
    <w:rsid w:val="00B279D7"/>
    <w:rsid w:val="00B27F04"/>
    <w:rsid w:val="00B30CE5"/>
    <w:rsid w:val="00B31659"/>
    <w:rsid w:val="00B32D5C"/>
    <w:rsid w:val="00B3364D"/>
    <w:rsid w:val="00B3417B"/>
    <w:rsid w:val="00B34877"/>
    <w:rsid w:val="00B358D1"/>
    <w:rsid w:val="00B36463"/>
    <w:rsid w:val="00B37BCF"/>
    <w:rsid w:val="00B40953"/>
    <w:rsid w:val="00B42996"/>
    <w:rsid w:val="00B44433"/>
    <w:rsid w:val="00B45A56"/>
    <w:rsid w:val="00B47553"/>
    <w:rsid w:val="00B50D5C"/>
    <w:rsid w:val="00B51C01"/>
    <w:rsid w:val="00B55253"/>
    <w:rsid w:val="00B5703B"/>
    <w:rsid w:val="00B60C2C"/>
    <w:rsid w:val="00B60EDB"/>
    <w:rsid w:val="00B62C0F"/>
    <w:rsid w:val="00B63825"/>
    <w:rsid w:val="00B645A8"/>
    <w:rsid w:val="00B66471"/>
    <w:rsid w:val="00B674C0"/>
    <w:rsid w:val="00B71240"/>
    <w:rsid w:val="00B712CE"/>
    <w:rsid w:val="00B73787"/>
    <w:rsid w:val="00B77B49"/>
    <w:rsid w:val="00B806B9"/>
    <w:rsid w:val="00B80793"/>
    <w:rsid w:val="00B84E42"/>
    <w:rsid w:val="00B85DD0"/>
    <w:rsid w:val="00B87915"/>
    <w:rsid w:val="00B87A65"/>
    <w:rsid w:val="00B91092"/>
    <w:rsid w:val="00B916A0"/>
    <w:rsid w:val="00B923A0"/>
    <w:rsid w:val="00B92B46"/>
    <w:rsid w:val="00BA1F52"/>
    <w:rsid w:val="00BA3928"/>
    <w:rsid w:val="00BA3F53"/>
    <w:rsid w:val="00BA4592"/>
    <w:rsid w:val="00BA75D6"/>
    <w:rsid w:val="00BB5BFD"/>
    <w:rsid w:val="00BB6472"/>
    <w:rsid w:val="00BB64BD"/>
    <w:rsid w:val="00BB72AD"/>
    <w:rsid w:val="00BC1752"/>
    <w:rsid w:val="00BC38EC"/>
    <w:rsid w:val="00BC405D"/>
    <w:rsid w:val="00BC46F2"/>
    <w:rsid w:val="00BC4AFF"/>
    <w:rsid w:val="00BC4BB0"/>
    <w:rsid w:val="00BC6321"/>
    <w:rsid w:val="00BD1653"/>
    <w:rsid w:val="00BD218F"/>
    <w:rsid w:val="00BD263D"/>
    <w:rsid w:val="00BD5C2D"/>
    <w:rsid w:val="00BD6379"/>
    <w:rsid w:val="00BE369C"/>
    <w:rsid w:val="00BE373B"/>
    <w:rsid w:val="00BE69C8"/>
    <w:rsid w:val="00BE7672"/>
    <w:rsid w:val="00BF0A4C"/>
    <w:rsid w:val="00BF2BCE"/>
    <w:rsid w:val="00BF542F"/>
    <w:rsid w:val="00BF570F"/>
    <w:rsid w:val="00BF5FEA"/>
    <w:rsid w:val="00BF6AF5"/>
    <w:rsid w:val="00C0294E"/>
    <w:rsid w:val="00C1203B"/>
    <w:rsid w:val="00C14DEA"/>
    <w:rsid w:val="00C15AD6"/>
    <w:rsid w:val="00C20058"/>
    <w:rsid w:val="00C2184D"/>
    <w:rsid w:val="00C229FA"/>
    <w:rsid w:val="00C22DB4"/>
    <w:rsid w:val="00C309BD"/>
    <w:rsid w:val="00C32471"/>
    <w:rsid w:val="00C32E40"/>
    <w:rsid w:val="00C330EE"/>
    <w:rsid w:val="00C352BA"/>
    <w:rsid w:val="00C35700"/>
    <w:rsid w:val="00C37EE4"/>
    <w:rsid w:val="00C42C15"/>
    <w:rsid w:val="00C46AC2"/>
    <w:rsid w:val="00C54775"/>
    <w:rsid w:val="00C5561A"/>
    <w:rsid w:val="00C6490D"/>
    <w:rsid w:val="00C66840"/>
    <w:rsid w:val="00C70296"/>
    <w:rsid w:val="00C70710"/>
    <w:rsid w:val="00C7083A"/>
    <w:rsid w:val="00C7531A"/>
    <w:rsid w:val="00C758D5"/>
    <w:rsid w:val="00C826F2"/>
    <w:rsid w:val="00C829ED"/>
    <w:rsid w:val="00C831A9"/>
    <w:rsid w:val="00C83718"/>
    <w:rsid w:val="00C86643"/>
    <w:rsid w:val="00C86E51"/>
    <w:rsid w:val="00C91114"/>
    <w:rsid w:val="00C920CA"/>
    <w:rsid w:val="00C94858"/>
    <w:rsid w:val="00C94910"/>
    <w:rsid w:val="00C96635"/>
    <w:rsid w:val="00C97B78"/>
    <w:rsid w:val="00C97D2E"/>
    <w:rsid w:val="00CA1C51"/>
    <w:rsid w:val="00CA1C56"/>
    <w:rsid w:val="00CA225F"/>
    <w:rsid w:val="00CA2BDE"/>
    <w:rsid w:val="00CA3521"/>
    <w:rsid w:val="00CA36D0"/>
    <w:rsid w:val="00CA6B40"/>
    <w:rsid w:val="00CB00B0"/>
    <w:rsid w:val="00CB232C"/>
    <w:rsid w:val="00CB46E1"/>
    <w:rsid w:val="00CB4ADD"/>
    <w:rsid w:val="00CB72F6"/>
    <w:rsid w:val="00CC0112"/>
    <w:rsid w:val="00CC0F56"/>
    <w:rsid w:val="00CC5693"/>
    <w:rsid w:val="00CC76A8"/>
    <w:rsid w:val="00CC7BDA"/>
    <w:rsid w:val="00CD0D89"/>
    <w:rsid w:val="00CD1D2E"/>
    <w:rsid w:val="00CD6D02"/>
    <w:rsid w:val="00CD6DA9"/>
    <w:rsid w:val="00CE09CC"/>
    <w:rsid w:val="00CE142D"/>
    <w:rsid w:val="00CE3F2B"/>
    <w:rsid w:val="00CF0ACE"/>
    <w:rsid w:val="00CF0C81"/>
    <w:rsid w:val="00CF1E79"/>
    <w:rsid w:val="00CF24A9"/>
    <w:rsid w:val="00CF2B50"/>
    <w:rsid w:val="00CF2F2B"/>
    <w:rsid w:val="00CF4235"/>
    <w:rsid w:val="00CF4F41"/>
    <w:rsid w:val="00CF5509"/>
    <w:rsid w:val="00CF60AA"/>
    <w:rsid w:val="00D0088B"/>
    <w:rsid w:val="00D0128A"/>
    <w:rsid w:val="00D01DDD"/>
    <w:rsid w:val="00D022BA"/>
    <w:rsid w:val="00D10778"/>
    <w:rsid w:val="00D11CA8"/>
    <w:rsid w:val="00D172E9"/>
    <w:rsid w:val="00D1756F"/>
    <w:rsid w:val="00D20EEA"/>
    <w:rsid w:val="00D22F29"/>
    <w:rsid w:val="00D242E4"/>
    <w:rsid w:val="00D350A0"/>
    <w:rsid w:val="00D37736"/>
    <w:rsid w:val="00D377AA"/>
    <w:rsid w:val="00D4233F"/>
    <w:rsid w:val="00D4499C"/>
    <w:rsid w:val="00D45A3A"/>
    <w:rsid w:val="00D50A9C"/>
    <w:rsid w:val="00D513E8"/>
    <w:rsid w:val="00D51630"/>
    <w:rsid w:val="00D53B59"/>
    <w:rsid w:val="00D611D8"/>
    <w:rsid w:val="00D61B59"/>
    <w:rsid w:val="00D634DD"/>
    <w:rsid w:val="00D636A5"/>
    <w:rsid w:val="00D646C4"/>
    <w:rsid w:val="00D65160"/>
    <w:rsid w:val="00D66027"/>
    <w:rsid w:val="00D67AA4"/>
    <w:rsid w:val="00D7147C"/>
    <w:rsid w:val="00D71769"/>
    <w:rsid w:val="00D7497B"/>
    <w:rsid w:val="00D76252"/>
    <w:rsid w:val="00D76697"/>
    <w:rsid w:val="00D76927"/>
    <w:rsid w:val="00D76C46"/>
    <w:rsid w:val="00D76FCC"/>
    <w:rsid w:val="00D808D3"/>
    <w:rsid w:val="00D80CD9"/>
    <w:rsid w:val="00D80DB1"/>
    <w:rsid w:val="00D82250"/>
    <w:rsid w:val="00D85B83"/>
    <w:rsid w:val="00D85D16"/>
    <w:rsid w:val="00D85FAA"/>
    <w:rsid w:val="00D86983"/>
    <w:rsid w:val="00D86BAE"/>
    <w:rsid w:val="00D8753E"/>
    <w:rsid w:val="00D9071C"/>
    <w:rsid w:val="00D90B10"/>
    <w:rsid w:val="00D94513"/>
    <w:rsid w:val="00D945F8"/>
    <w:rsid w:val="00DA1EAA"/>
    <w:rsid w:val="00DA3B50"/>
    <w:rsid w:val="00DA6831"/>
    <w:rsid w:val="00DB30BF"/>
    <w:rsid w:val="00DB7ADA"/>
    <w:rsid w:val="00DC1412"/>
    <w:rsid w:val="00DC3013"/>
    <w:rsid w:val="00DC36A4"/>
    <w:rsid w:val="00DC446C"/>
    <w:rsid w:val="00DC4806"/>
    <w:rsid w:val="00DC6073"/>
    <w:rsid w:val="00DD1240"/>
    <w:rsid w:val="00DD3295"/>
    <w:rsid w:val="00DE1230"/>
    <w:rsid w:val="00DE55FB"/>
    <w:rsid w:val="00DF152F"/>
    <w:rsid w:val="00DF3072"/>
    <w:rsid w:val="00DF45E8"/>
    <w:rsid w:val="00E00E3D"/>
    <w:rsid w:val="00E02850"/>
    <w:rsid w:val="00E05976"/>
    <w:rsid w:val="00E07BDC"/>
    <w:rsid w:val="00E07E01"/>
    <w:rsid w:val="00E102E0"/>
    <w:rsid w:val="00E12D5F"/>
    <w:rsid w:val="00E15032"/>
    <w:rsid w:val="00E1522F"/>
    <w:rsid w:val="00E174E8"/>
    <w:rsid w:val="00E17E79"/>
    <w:rsid w:val="00E235DF"/>
    <w:rsid w:val="00E253DD"/>
    <w:rsid w:val="00E2604F"/>
    <w:rsid w:val="00E27A9F"/>
    <w:rsid w:val="00E3322C"/>
    <w:rsid w:val="00E367B0"/>
    <w:rsid w:val="00E36C8D"/>
    <w:rsid w:val="00E36F87"/>
    <w:rsid w:val="00E40E31"/>
    <w:rsid w:val="00E43F75"/>
    <w:rsid w:val="00E44989"/>
    <w:rsid w:val="00E45E67"/>
    <w:rsid w:val="00E4739B"/>
    <w:rsid w:val="00E47E72"/>
    <w:rsid w:val="00E513B9"/>
    <w:rsid w:val="00E51B35"/>
    <w:rsid w:val="00E55010"/>
    <w:rsid w:val="00E5523F"/>
    <w:rsid w:val="00E55F54"/>
    <w:rsid w:val="00E5637C"/>
    <w:rsid w:val="00E57881"/>
    <w:rsid w:val="00E611A7"/>
    <w:rsid w:val="00E62485"/>
    <w:rsid w:val="00E62BB2"/>
    <w:rsid w:val="00E63ADE"/>
    <w:rsid w:val="00E65269"/>
    <w:rsid w:val="00E67789"/>
    <w:rsid w:val="00E67BFE"/>
    <w:rsid w:val="00E70A2A"/>
    <w:rsid w:val="00E717A4"/>
    <w:rsid w:val="00E74DA5"/>
    <w:rsid w:val="00E75161"/>
    <w:rsid w:val="00E75C02"/>
    <w:rsid w:val="00E772D5"/>
    <w:rsid w:val="00E7761B"/>
    <w:rsid w:val="00E82C70"/>
    <w:rsid w:val="00E83F26"/>
    <w:rsid w:val="00E85FA0"/>
    <w:rsid w:val="00E86CB0"/>
    <w:rsid w:val="00E8708F"/>
    <w:rsid w:val="00E924D1"/>
    <w:rsid w:val="00E94050"/>
    <w:rsid w:val="00E943E8"/>
    <w:rsid w:val="00E95412"/>
    <w:rsid w:val="00E978F4"/>
    <w:rsid w:val="00EA042C"/>
    <w:rsid w:val="00EA0E19"/>
    <w:rsid w:val="00EA0EEC"/>
    <w:rsid w:val="00EA2747"/>
    <w:rsid w:val="00EA2B20"/>
    <w:rsid w:val="00EA2B38"/>
    <w:rsid w:val="00EA3B2A"/>
    <w:rsid w:val="00EA3CB9"/>
    <w:rsid w:val="00EA5694"/>
    <w:rsid w:val="00EA5F5D"/>
    <w:rsid w:val="00EA6C6D"/>
    <w:rsid w:val="00EA7E55"/>
    <w:rsid w:val="00EB1CA0"/>
    <w:rsid w:val="00EB31D1"/>
    <w:rsid w:val="00EB5BB9"/>
    <w:rsid w:val="00EB5F43"/>
    <w:rsid w:val="00EB6A59"/>
    <w:rsid w:val="00EB7E9C"/>
    <w:rsid w:val="00EC2DEF"/>
    <w:rsid w:val="00EC4E52"/>
    <w:rsid w:val="00EC6D57"/>
    <w:rsid w:val="00EC70A6"/>
    <w:rsid w:val="00ED155E"/>
    <w:rsid w:val="00ED3AD7"/>
    <w:rsid w:val="00ED6232"/>
    <w:rsid w:val="00ED7C2E"/>
    <w:rsid w:val="00EE00BD"/>
    <w:rsid w:val="00EE0E12"/>
    <w:rsid w:val="00EE123E"/>
    <w:rsid w:val="00EE1B93"/>
    <w:rsid w:val="00EE3862"/>
    <w:rsid w:val="00EE3EC2"/>
    <w:rsid w:val="00EE672D"/>
    <w:rsid w:val="00EE6B07"/>
    <w:rsid w:val="00EF1F54"/>
    <w:rsid w:val="00EF3391"/>
    <w:rsid w:val="00EF75B7"/>
    <w:rsid w:val="00F00641"/>
    <w:rsid w:val="00F010DD"/>
    <w:rsid w:val="00F01280"/>
    <w:rsid w:val="00F01716"/>
    <w:rsid w:val="00F02059"/>
    <w:rsid w:val="00F041ED"/>
    <w:rsid w:val="00F04624"/>
    <w:rsid w:val="00F1058F"/>
    <w:rsid w:val="00F157B5"/>
    <w:rsid w:val="00F16064"/>
    <w:rsid w:val="00F208CB"/>
    <w:rsid w:val="00F20ADE"/>
    <w:rsid w:val="00F20E4A"/>
    <w:rsid w:val="00F214AC"/>
    <w:rsid w:val="00F21649"/>
    <w:rsid w:val="00F25EA1"/>
    <w:rsid w:val="00F3033F"/>
    <w:rsid w:val="00F30383"/>
    <w:rsid w:val="00F3451F"/>
    <w:rsid w:val="00F3476A"/>
    <w:rsid w:val="00F35284"/>
    <w:rsid w:val="00F353AD"/>
    <w:rsid w:val="00F40AA6"/>
    <w:rsid w:val="00F40C63"/>
    <w:rsid w:val="00F42A42"/>
    <w:rsid w:val="00F444AB"/>
    <w:rsid w:val="00F462E7"/>
    <w:rsid w:val="00F464E9"/>
    <w:rsid w:val="00F46588"/>
    <w:rsid w:val="00F4712B"/>
    <w:rsid w:val="00F50954"/>
    <w:rsid w:val="00F51750"/>
    <w:rsid w:val="00F52706"/>
    <w:rsid w:val="00F52FF6"/>
    <w:rsid w:val="00F53EF2"/>
    <w:rsid w:val="00F55C57"/>
    <w:rsid w:val="00F5682F"/>
    <w:rsid w:val="00F57231"/>
    <w:rsid w:val="00F605F6"/>
    <w:rsid w:val="00F60E45"/>
    <w:rsid w:val="00F636F6"/>
    <w:rsid w:val="00F63703"/>
    <w:rsid w:val="00F63CD7"/>
    <w:rsid w:val="00F646C9"/>
    <w:rsid w:val="00F66EA5"/>
    <w:rsid w:val="00F70B6C"/>
    <w:rsid w:val="00F70C73"/>
    <w:rsid w:val="00F7225C"/>
    <w:rsid w:val="00F7322A"/>
    <w:rsid w:val="00F74BF5"/>
    <w:rsid w:val="00F77B62"/>
    <w:rsid w:val="00F77BC9"/>
    <w:rsid w:val="00F77D73"/>
    <w:rsid w:val="00F8009D"/>
    <w:rsid w:val="00F80BC1"/>
    <w:rsid w:val="00F815EB"/>
    <w:rsid w:val="00F836E3"/>
    <w:rsid w:val="00F839EB"/>
    <w:rsid w:val="00F8458D"/>
    <w:rsid w:val="00F84686"/>
    <w:rsid w:val="00F84D47"/>
    <w:rsid w:val="00F85373"/>
    <w:rsid w:val="00F85A78"/>
    <w:rsid w:val="00F86035"/>
    <w:rsid w:val="00F86CC7"/>
    <w:rsid w:val="00F90654"/>
    <w:rsid w:val="00F91926"/>
    <w:rsid w:val="00F91F25"/>
    <w:rsid w:val="00F9586F"/>
    <w:rsid w:val="00F96045"/>
    <w:rsid w:val="00F9695D"/>
    <w:rsid w:val="00FA01B4"/>
    <w:rsid w:val="00FA2E22"/>
    <w:rsid w:val="00FA5E06"/>
    <w:rsid w:val="00FA6D09"/>
    <w:rsid w:val="00FA7DC5"/>
    <w:rsid w:val="00FB0D47"/>
    <w:rsid w:val="00FB0E63"/>
    <w:rsid w:val="00FB10D8"/>
    <w:rsid w:val="00FB1A16"/>
    <w:rsid w:val="00FB1EEC"/>
    <w:rsid w:val="00FB2DAA"/>
    <w:rsid w:val="00FB3186"/>
    <w:rsid w:val="00FB3A19"/>
    <w:rsid w:val="00FB53FB"/>
    <w:rsid w:val="00FB5721"/>
    <w:rsid w:val="00FB68C2"/>
    <w:rsid w:val="00FB7BF7"/>
    <w:rsid w:val="00FC1463"/>
    <w:rsid w:val="00FC43E0"/>
    <w:rsid w:val="00FC46B6"/>
    <w:rsid w:val="00FC57F1"/>
    <w:rsid w:val="00FC5967"/>
    <w:rsid w:val="00FC63E3"/>
    <w:rsid w:val="00FC7E7A"/>
    <w:rsid w:val="00FD1FA1"/>
    <w:rsid w:val="00FD338D"/>
    <w:rsid w:val="00FD5B3A"/>
    <w:rsid w:val="00FD6C24"/>
    <w:rsid w:val="00FD7640"/>
    <w:rsid w:val="00FE0B14"/>
    <w:rsid w:val="00FE3BD1"/>
    <w:rsid w:val="00FE4A0B"/>
    <w:rsid w:val="00FE7413"/>
    <w:rsid w:val="00FF0459"/>
    <w:rsid w:val="00FF33EC"/>
    <w:rsid w:val="00FF68E7"/>
    <w:rsid w:val="00FF6C72"/>
    <w:rsid w:val="00FF728D"/>
    <w:rsid w:val="00FF7341"/>
    <w:rsid w:val="00FF7B7F"/>
    <w:rsid w:val="02B0D622"/>
    <w:rsid w:val="04D56A38"/>
    <w:rsid w:val="07FA687F"/>
    <w:rsid w:val="08115F1D"/>
    <w:rsid w:val="08AA030D"/>
    <w:rsid w:val="08B51433"/>
    <w:rsid w:val="099FDCC5"/>
    <w:rsid w:val="0B5597D2"/>
    <w:rsid w:val="0E13E220"/>
    <w:rsid w:val="0E887DD2"/>
    <w:rsid w:val="0FAFB281"/>
    <w:rsid w:val="105A5D2F"/>
    <w:rsid w:val="1176D900"/>
    <w:rsid w:val="1238546E"/>
    <w:rsid w:val="13C66161"/>
    <w:rsid w:val="1497F4E8"/>
    <w:rsid w:val="14A805F9"/>
    <w:rsid w:val="167F9AD5"/>
    <w:rsid w:val="170806EB"/>
    <w:rsid w:val="17644C02"/>
    <w:rsid w:val="1991A473"/>
    <w:rsid w:val="19D92BD5"/>
    <w:rsid w:val="1BB48DDD"/>
    <w:rsid w:val="1CD2F9A7"/>
    <w:rsid w:val="1CF0AC9B"/>
    <w:rsid w:val="1CFB3772"/>
    <w:rsid w:val="1D19A6F4"/>
    <w:rsid w:val="1DF80602"/>
    <w:rsid w:val="1EEC2E9F"/>
    <w:rsid w:val="21352465"/>
    <w:rsid w:val="230ACF9A"/>
    <w:rsid w:val="24060B44"/>
    <w:rsid w:val="243CE595"/>
    <w:rsid w:val="2C561418"/>
    <w:rsid w:val="2D2EABEB"/>
    <w:rsid w:val="31C7ED60"/>
    <w:rsid w:val="31FBECA8"/>
    <w:rsid w:val="3208A12C"/>
    <w:rsid w:val="327F6D9B"/>
    <w:rsid w:val="3329DF4B"/>
    <w:rsid w:val="34B79207"/>
    <w:rsid w:val="39E78A60"/>
    <w:rsid w:val="3A82D136"/>
    <w:rsid w:val="3B1F9FA6"/>
    <w:rsid w:val="3C1B2C2E"/>
    <w:rsid w:val="3DC7345B"/>
    <w:rsid w:val="40E6D3BC"/>
    <w:rsid w:val="40E9773F"/>
    <w:rsid w:val="42D1C673"/>
    <w:rsid w:val="45B3FEBD"/>
    <w:rsid w:val="46E56DD6"/>
    <w:rsid w:val="48893F7C"/>
    <w:rsid w:val="4976F6A6"/>
    <w:rsid w:val="49DB4295"/>
    <w:rsid w:val="4A68D7DC"/>
    <w:rsid w:val="4EA5BC0B"/>
    <w:rsid w:val="50A6AA42"/>
    <w:rsid w:val="51835526"/>
    <w:rsid w:val="5303FE66"/>
    <w:rsid w:val="56BF6A00"/>
    <w:rsid w:val="58DB845D"/>
    <w:rsid w:val="5A98A02A"/>
    <w:rsid w:val="5C415191"/>
    <w:rsid w:val="5CD77068"/>
    <w:rsid w:val="5DB4DA1A"/>
    <w:rsid w:val="5DDD21F2"/>
    <w:rsid w:val="5E4DE400"/>
    <w:rsid w:val="5E724D25"/>
    <w:rsid w:val="5E74C1C2"/>
    <w:rsid w:val="5F78F253"/>
    <w:rsid w:val="66E1C272"/>
    <w:rsid w:val="6AEC8ABE"/>
    <w:rsid w:val="6C4A1430"/>
    <w:rsid w:val="71307624"/>
    <w:rsid w:val="72A2DAF1"/>
    <w:rsid w:val="73099C9F"/>
    <w:rsid w:val="73528963"/>
    <w:rsid w:val="73E83D60"/>
    <w:rsid w:val="754367F8"/>
    <w:rsid w:val="76177CA6"/>
    <w:rsid w:val="784F729D"/>
    <w:rsid w:val="7A1092F9"/>
    <w:rsid w:val="7AF73E62"/>
    <w:rsid w:val="7B42A52E"/>
    <w:rsid w:val="7F0DAC9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22EFC"/>
  <w15:chartTrackingRefBased/>
  <w15:docId w15:val="{9401DB86-4228-45BF-AA18-2814233BD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3F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52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27F04"/>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eop">
    <w:name w:val="eop"/>
    <w:basedOn w:val="DefaultParagraphFont"/>
    <w:rsid w:val="00B27F04"/>
  </w:style>
  <w:style w:type="character" w:customStyle="1" w:styleId="scxw239659349">
    <w:name w:val="scxw239659349"/>
    <w:basedOn w:val="DefaultParagraphFont"/>
    <w:rsid w:val="00B27F04"/>
  </w:style>
  <w:style w:type="character" w:customStyle="1" w:styleId="wacimagecontainer">
    <w:name w:val="wacimagecontainer"/>
    <w:basedOn w:val="DefaultParagraphFont"/>
    <w:rsid w:val="00B27F04"/>
  </w:style>
  <w:style w:type="character" w:customStyle="1" w:styleId="normaltextrun">
    <w:name w:val="normaltextrun"/>
    <w:basedOn w:val="DefaultParagraphFont"/>
    <w:rsid w:val="00B27F04"/>
  </w:style>
  <w:style w:type="character" w:customStyle="1" w:styleId="contentcontrolboundarysink">
    <w:name w:val="contentcontrolboundarysink"/>
    <w:basedOn w:val="DefaultParagraphFont"/>
    <w:rsid w:val="00B27F04"/>
  </w:style>
  <w:style w:type="paragraph" w:customStyle="1" w:styleId="Default">
    <w:name w:val="Default"/>
    <w:rsid w:val="00CC76A8"/>
    <w:pPr>
      <w:autoSpaceDE w:val="0"/>
      <w:autoSpaceDN w:val="0"/>
      <w:adjustRightInd w:val="0"/>
      <w:spacing w:after="0" w:line="240" w:lineRule="auto"/>
    </w:pPr>
    <w:rPr>
      <w:rFonts w:ascii="Arial" w:hAnsi="Arial" w:cs="Arial"/>
      <w:color w:val="000000"/>
      <w:kern w:val="0"/>
      <w:sz w:val="24"/>
      <w:szCs w:val="24"/>
    </w:rPr>
  </w:style>
  <w:style w:type="character" w:styleId="Hyperlink">
    <w:name w:val="Hyperlink"/>
    <w:basedOn w:val="DefaultParagraphFont"/>
    <w:uiPriority w:val="99"/>
    <w:unhideWhenUsed/>
    <w:rsid w:val="006E02D9"/>
    <w:rPr>
      <w:color w:val="0563C1" w:themeColor="hyperlink"/>
      <w:u w:val="single"/>
    </w:rPr>
  </w:style>
  <w:style w:type="character" w:styleId="UnresolvedMention">
    <w:name w:val="Unresolved Mention"/>
    <w:basedOn w:val="DefaultParagraphFont"/>
    <w:uiPriority w:val="99"/>
    <w:semiHidden/>
    <w:unhideWhenUsed/>
    <w:rsid w:val="006E02D9"/>
    <w:rPr>
      <w:color w:val="605E5C"/>
      <w:shd w:val="clear" w:color="auto" w:fill="E1DFDD"/>
    </w:rPr>
  </w:style>
  <w:style w:type="paragraph" w:styleId="ListParagraph">
    <w:name w:val="List Paragraph"/>
    <w:basedOn w:val="Normal"/>
    <w:uiPriority w:val="34"/>
    <w:qFormat/>
    <w:rsid w:val="008B75F9"/>
    <w:pPr>
      <w:ind w:left="720"/>
      <w:contextualSpacing/>
    </w:pPr>
  </w:style>
  <w:style w:type="paragraph" w:customStyle="1" w:styleId="Pa1">
    <w:name w:val="Pa1"/>
    <w:basedOn w:val="Default"/>
    <w:next w:val="Default"/>
    <w:uiPriority w:val="99"/>
    <w:rsid w:val="001810DE"/>
    <w:pPr>
      <w:spacing w:line="221" w:lineRule="atLeast"/>
    </w:pPr>
    <w:rPr>
      <w:color w:val="auto"/>
    </w:rPr>
  </w:style>
  <w:style w:type="paragraph" w:styleId="FootnoteText">
    <w:name w:val="footnote text"/>
    <w:basedOn w:val="Normal"/>
    <w:link w:val="FootnoteTextChar"/>
    <w:uiPriority w:val="99"/>
    <w:semiHidden/>
    <w:unhideWhenUsed/>
    <w:rsid w:val="00827D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7D89"/>
    <w:rPr>
      <w:sz w:val="20"/>
      <w:szCs w:val="20"/>
    </w:rPr>
  </w:style>
  <w:style w:type="character" w:styleId="FootnoteReference">
    <w:name w:val="footnote reference"/>
    <w:basedOn w:val="DefaultParagraphFont"/>
    <w:uiPriority w:val="99"/>
    <w:semiHidden/>
    <w:unhideWhenUsed/>
    <w:rsid w:val="00827D89"/>
    <w:rPr>
      <w:vertAlign w:val="superscript"/>
    </w:rPr>
  </w:style>
  <w:style w:type="character" w:customStyle="1" w:styleId="findhit">
    <w:name w:val="findhit"/>
    <w:basedOn w:val="DefaultParagraphFont"/>
    <w:rsid w:val="00784A45"/>
  </w:style>
  <w:style w:type="paragraph" w:styleId="Header">
    <w:name w:val="header"/>
    <w:basedOn w:val="Normal"/>
    <w:link w:val="HeaderChar"/>
    <w:uiPriority w:val="99"/>
    <w:semiHidden/>
    <w:unhideWhenUsed/>
    <w:rsid w:val="0068653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8653D"/>
  </w:style>
  <w:style w:type="paragraph" w:styleId="Footer">
    <w:name w:val="footer"/>
    <w:basedOn w:val="Normal"/>
    <w:link w:val="FooterChar"/>
    <w:uiPriority w:val="99"/>
    <w:semiHidden/>
    <w:unhideWhenUsed/>
    <w:rsid w:val="0068653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8653D"/>
  </w:style>
  <w:style w:type="character" w:customStyle="1" w:styleId="superscript">
    <w:name w:val="superscript"/>
    <w:basedOn w:val="DefaultParagraphFont"/>
    <w:rsid w:val="000C7D3F"/>
  </w:style>
  <w:style w:type="character" w:customStyle="1" w:styleId="tabchar">
    <w:name w:val="tabchar"/>
    <w:basedOn w:val="DefaultParagraphFont"/>
    <w:rsid w:val="00F7225C"/>
  </w:style>
  <w:style w:type="character" w:customStyle="1" w:styleId="scxw228338238">
    <w:name w:val="scxw228338238"/>
    <w:basedOn w:val="DefaultParagraphFont"/>
    <w:rsid w:val="003577A6"/>
  </w:style>
  <w:style w:type="paragraph" w:styleId="Revision">
    <w:name w:val="Revision"/>
    <w:hidden/>
    <w:uiPriority w:val="99"/>
    <w:semiHidden/>
    <w:rsid w:val="004F13E3"/>
    <w:pPr>
      <w:spacing w:after="0" w:line="240" w:lineRule="auto"/>
    </w:pPr>
  </w:style>
  <w:style w:type="character" w:customStyle="1" w:styleId="Heading1Char">
    <w:name w:val="Heading 1 Char"/>
    <w:basedOn w:val="DefaultParagraphFont"/>
    <w:link w:val="Heading1"/>
    <w:uiPriority w:val="9"/>
    <w:rsid w:val="00CE3F2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E3F2B"/>
    <w:pPr>
      <w:outlineLvl w:val="9"/>
    </w:pPr>
    <w:rPr>
      <w:kern w:val="0"/>
      <w:lang w:val="en-US"/>
      <w14:ligatures w14:val="none"/>
    </w:rPr>
  </w:style>
  <w:style w:type="character" w:styleId="CommentReference">
    <w:name w:val="annotation reference"/>
    <w:basedOn w:val="DefaultParagraphFont"/>
    <w:uiPriority w:val="99"/>
    <w:semiHidden/>
    <w:unhideWhenUsed/>
    <w:rsid w:val="00D76697"/>
    <w:rPr>
      <w:sz w:val="16"/>
      <w:szCs w:val="16"/>
    </w:rPr>
  </w:style>
  <w:style w:type="paragraph" w:styleId="CommentText">
    <w:name w:val="annotation text"/>
    <w:basedOn w:val="Normal"/>
    <w:link w:val="CommentTextChar"/>
    <w:uiPriority w:val="99"/>
    <w:unhideWhenUsed/>
    <w:rsid w:val="00D76697"/>
    <w:pPr>
      <w:spacing w:line="240" w:lineRule="auto"/>
    </w:pPr>
    <w:rPr>
      <w:sz w:val="20"/>
      <w:szCs w:val="20"/>
    </w:rPr>
  </w:style>
  <w:style w:type="character" w:customStyle="1" w:styleId="CommentTextChar">
    <w:name w:val="Comment Text Char"/>
    <w:basedOn w:val="DefaultParagraphFont"/>
    <w:link w:val="CommentText"/>
    <w:uiPriority w:val="99"/>
    <w:rsid w:val="00D76697"/>
    <w:rPr>
      <w:sz w:val="20"/>
      <w:szCs w:val="20"/>
    </w:rPr>
  </w:style>
  <w:style w:type="paragraph" w:styleId="CommentSubject">
    <w:name w:val="annotation subject"/>
    <w:basedOn w:val="CommentText"/>
    <w:next w:val="CommentText"/>
    <w:link w:val="CommentSubjectChar"/>
    <w:uiPriority w:val="99"/>
    <w:semiHidden/>
    <w:unhideWhenUsed/>
    <w:rsid w:val="00D76697"/>
    <w:rPr>
      <w:b/>
      <w:bCs/>
    </w:rPr>
  </w:style>
  <w:style w:type="character" w:customStyle="1" w:styleId="CommentSubjectChar">
    <w:name w:val="Comment Subject Char"/>
    <w:basedOn w:val="CommentTextChar"/>
    <w:link w:val="CommentSubject"/>
    <w:uiPriority w:val="99"/>
    <w:semiHidden/>
    <w:rsid w:val="00D76697"/>
    <w:rPr>
      <w:b/>
      <w:bCs/>
      <w:sz w:val="20"/>
      <w:szCs w:val="20"/>
    </w:rPr>
  </w:style>
  <w:style w:type="character" w:styleId="FollowedHyperlink">
    <w:name w:val="FollowedHyperlink"/>
    <w:basedOn w:val="DefaultParagraphFont"/>
    <w:uiPriority w:val="99"/>
    <w:semiHidden/>
    <w:unhideWhenUsed/>
    <w:rsid w:val="003D7149"/>
    <w:rPr>
      <w:color w:val="954F72" w:themeColor="followedHyperlink"/>
      <w:u w:val="single"/>
    </w:rPr>
  </w:style>
  <w:style w:type="paragraph" w:styleId="EndnoteText">
    <w:name w:val="endnote text"/>
    <w:basedOn w:val="Normal"/>
    <w:link w:val="EndnoteTextChar"/>
    <w:uiPriority w:val="99"/>
    <w:semiHidden/>
    <w:unhideWhenUsed/>
    <w:rsid w:val="006361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3612C"/>
    <w:rPr>
      <w:sz w:val="20"/>
      <w:szCs w:val="20"/>
    </w:rPr>
  </w:style>
  <w:style w:type="character" w:styleId="EndnoteReference">
    <w:name w:val="endnote reference"/>
    <w:basedOn w:val="DefaultParagraphFont"/>
    <w:uiPriority w:val="99"/>
    <w:semiHidden/>
    <w:unhideWhenUsed/>
    <w:rsid w:val="0063612C"/>
    <w:rPr>
      <w:vertAlign w:val="superscript"/>
    </w:rPr>
  </w:style>
  <w:style w:type="character" w:customStyle="1" w:styleId="Heading2Char">
    <w:name w:val="Heading 2 Char"/>
    <w:basedOn w:val="DefaultParagraphFont"/>
    <w:link w:val="Heading2"/>
    <w:uiPriority w:val="9"/>
    <w:rsid w:val="00E5523F"/>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6A2C36"/>
    <w:pPr>
      <w:spacing w:after="100"/>
    </w:pPr>
  </w:style>
  <w:style w:type="paragraph" w:styleId="TOC2">
    <w:name w:val="toc 2"/>
    <w:basedOn w:val="Normal"/>
    <w:next w:val="Normal"/>
    <w:autoRedefine/>
    <w:uiPriority w:val="39"/>
    <w:unhideWhenUsed/>
    <w:rsid w:val="00CF4235"/>
    <w:pPr>
      <w:tabs>
        <w:tab w:val="right" w:leader="dot" w:pos="9016"/>
      </w:tabs>
      <w:spacing w:after="100"/>
      <w:ind w:left="220"/>
    </w:pPr>
  </w:style>
  <w:style w:type="character" w:styleId="Mention">
    <w:name w:val="Mention"/>
    <w:basedOn w:val="DefaultParagraphFont"/>
    <w:uiPriority w:val="99"/>
    <w:unhideWhenUsed/>
    <w:rsid w:val="00632E0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507498">
      <w:bodyDiv w:val="1"/>
      <w:marLeft w:val="0"/>
      <w:marRight w:val="0"/>
      <w:marTop w:val="0"/>
      <w:marBottom w:val="0"/>
      <w:divBdr>
        <w:top w:val="none" w:sz="0" w:space="0" w:color="auto"/>
        <w:left w:val="none" w:sz="0" w:space="0" w:color="auto"/>
        <w:bottom w:val="none" w:sz="0" w:space="0" w:color="auto"/>
        <w:right w:val="none" w:sz="0" w:space="0" w:color="auto"/>
      </w:divBdr>
      <w:divsChild>
        <w:div w:id="884563491">
          <w:marLeft w:val="0"/>
          <w:marRight w:val="0"/>
          <w:marTop w:val="0"/>
          <w:marBottom w:val="0"/>
          <w:divBdr>
            <w:top w:val="none" w:sz="0" w:space="0" w:color="auto"/>
            <w:left w:val="none" w:sz="0" w:space="0" w:color="auto"/>
            <w:bottom w:val="none" w:sz="0" w:space="0" w:color="auto"/>
            <w:right w:val="none" w:sz="0" w:space="0" w:color="auto"/>
          </w:divBdr>
          <w:divsChild>
            <w:div w:id="321085019">
              <w:marLeft w:val="0"/>
              <w:marRight w:val="0"/>
              <w:marTop w:val="0"/>
              <w:marBottom w:val="0"/>
              <w:divBdr>
                <w:top w:val="none" w:sz="0" w:space="0" w:color="auto"/>
                <w:left w:val="none" w:sz="0" w:space="0" w:color="auto"/>
                <w:bottom w:val="none" w:sz="0" w:space="0" w:color="auto"/>
                <w:right w:val="none" w:sz="0" w:space="0" w:color="auto"/>
              </w:divBdr>
            </w:div>
            <w:div w:id="800608593">
              <w:marLeft w:val="0"/>
              <w:marRight w:val="0"/>
              <w:marTop w:val="0"/>
              <w:marBottom w:val="0"/>
              <w:divBdr>
                <w:top w:val="none" w:sz="0" w:space="0" w:color="auto"/>
                <w:left w:val="none" w:sz="0" w:space="0" w:color="auto"/>
                <w:bottom w:val="none" w:sz="0" w:space="0" w:color="auto"/>
                <w:right w:val="none" w:sz="0" w:space="0" w:color="auto"/>
              </w:divBdr>
            </w:div>
            <w:div w:id="2044940708">
              <w:marLeft w:val="0"/>
              <w:marRight w:val="0"/>
              <w:marTop w:val="0"/>
              <w:marBottom w:val="0"/>
              <w:divBdr>
                <w:top w:val="none" w:sz="0" w:space="0" w:color="auto"/>
                <w:left w:val="none" w:sz="0" w:space="0" w:color="auto"/>
                <w:bottom w:val="none" w:sz="0" w:space="0" w:color="auto"/>
                <w:right w:val="none" w:sz="0" w:space="0" w:color="auto"/>
              </w:divBdr>
            </w:div>
          </w:divsChild>
        </w:div>
        <w:div w:id="1160196246">
          <w:marLeft w:val="0"/>
          <w:marRight w:val="0"/>
          <w:marTop w:val="0"/>
          <w:marBottom w:val="0"/>
          <w:divBdr>
            <w:top w:val="none" w:sz="0" w:space="0" w:color="auto"/>
            <w:left w:val="none" w:sz="0" w:space="0" w:color="auto"/>
            <w:bottom w:val="none" w:sz="0" w:space="0" w:color="auto"/>
            <w:right w:val="none" w:sz="0" w:space="0" w:color="auto"/>
          </w:divBdr>
        </w:div>
      </w:divsChild>
    </w:div>
    <w:div w:id="476729026">
      <w:bodyDiv w:val="1"/>
      <w:marLeft w:val="0"/>
      <w:marRight w:val="0"/>
      <w:marTop w:val="0"/>
      <w:marBottom w:val="0"/>
      <w:divBdr>
        <w:top w:val="none" w:sz="0" w:space="0" w:color="auto"/>
        <w:left w:val="none" w:sz="0" w:space="0" w:color="auto"/>
        <w:bottom w:val="none" w:sz="0" w:space="0" w:color="auto"/>
        <w:right w:val="none" w:sz="0" w:space="0" w:color="auto"/>
      </w:divBdr>
      <w:divsChild>
        <w:div w:id="31729631">
          <w:marLeft w:val="0"/>
          <w:marRight w:val="0"/>
          <w:marTop w:val="0"/>
          <w:marBottom w:val="0"/>
          <w:divBdr>
            <w:top w:val="none" w:sz="0" w:space="0" w:color="auto"/>
            <w:left w:val="none" w:sz="0" w:space="0" w:color="auto"/>
            <w:bottom w:val="none" w:sz="0" w:space="0" w:color="auto"/>
            <w:right w:val="none" w:sz="0" w:space="0" w:color="auto"/>
          </w:divBdr>
        </w:div>
      </w:divsChild>
    </w:div>
    <w:div w:id="477697976">
      <w:bodyDiv w:val="1"/>
      <w:marLeft w:val="0"/>
      <w:marRight w:val="0"/>
      <w:marTop w:val="0"/>
      <w:marBottom w:val="0"/>
      <w:divBdr>
        <w:top w:val="none" w:sz="0" w:space="0" w:color="auto"/>
        <w:left w:val="none" w:sz="0" w:space="0" w:color="auto"/>
        <w:bottom w:val="none" w:sz="0" w:space="0" w:color="auto"/>
        <w:right w:val="none" w:sz="0" w:space="0" w:color="auto"/>
      </w:divBdr>
      <w:divsChild>
        <w:div w:id="1098670478">
          <w:marLeft w:val="0"/>
          <w:marRight w:val="0"/>
          <w:marTop w:val="0"/>
          <w:marBottom w:val="0"/>
          <w:divBdr>
            <w:top w:val="none" w:sz="0" w:space="0" w:color="auto"/>
            <w:left w:val="none" w:sz="0" w:space="0" w:color="auto"/>
            <w:bottom w:val="none" w:sz="0" w:space="0" w:color="auto"/>
            <w:right w:val="none" w:sz="0" w:space="0" w:color="auto"/>
          </w:divBdr>
        </w:div>
        <w:div w:id="1293365526">
          <w:marLeft w:val="0"/>
          <w:marRight w:val="0"/>
          <w:marTop w:val="0"/>
          <w:marBottom w:val="0"/>
          <w:divBdr>
            <w:top w:val="none" w:sz="0" w:space="0" w:color="auto"/>
            <w:left w:val="none" w:sz="0" w:space="0" w:color="auto"/>
            <w:bottom w:val="none" w:sz="0" w:space="0" w:color="auto"/>
            <w:right w:val="none" w:sz="0" w:space="0" w:color="auto"/>
          </w:divBdr>
        </w:div>
      </w:divsChild>
    </w:div>
    <w:div w:id="498615110">
      <w:bodyDiv w:val="1"/>
      <w:marLeft w:val="0"/>
      <w:marRight w:val="0"/>
      <w:marTop w:val="0"/>
      <w:marBottom w:val="0"/>
      <w:divBdr>
        <w:top w:val="none" w:sz="0" w:space="0" w:color="auto"/>
        <w:left w:val="none" w:sz="0" w:space="0" w:color="auto"/>
        <w:bottom w:val="none" w:sz="0" w:space="0" w:color="auto"/>
        <w:right w:val="none" w:sz="0" w:space="0" w:color="auto"/>
      </w:divBdr>
      <w:divsChild>
        <w:div w:id="140464988">
          <w:marLeft w:val="0"/>
          <w:marRight w:val="0"/>
          <w:marTop w:val="0"/>
          <w:marBottom w:val="0"/>
          <w:divBdr>
            <w:top w:val="none" w:sz="0" w:space="0" w:color="auto"/>
            <w:left w:val="none" w:sz="0" w:space="0" w:color="auto"/>
            <w:bottom w:val="none" w:sz="0" w:space="0" w:color="auto"/>
            <w:right w:val="none" w:sz="0" w:space="0" w:color="auto"/>
          </w:divBdr>
        </w:div>
        <w:div w:id="1407529174">
          <w:marLeft w:val="0"/>
          <w:marRight w:val="0"/>
          <w:marTop w:val="0"/>
          <w:marBottom w:val="0"/>
          <w:divBdr>
            <w:top w:val="none" w:sz="0" w:space="0" w:color="auto"/>
            <w:left w:val="none" w:sz="0" w:space="0" w:color="auto"/>
            <w:bottom w:val="none" w:sz="0" w:space="0" w:color="auto"/>
            <w:right w:val="none" w:sz="0" w:space="0" w:color="auto"/>
          </w:divBdr>
        </w:div>
      </w:divsChild>
    </w:div>
    <w:div w:id="529882779">
      <w:bodyDiv w:val="1"/>
      <w:marLeft w:val="0"/>
      <w:marRight w:val="0"/>
      <w:marTop w:val="0"/>
      <w:marBottom w:val="0"/>
      <w:divBdr>
        <w:top w:val="none" w:sz="0" w:space="0" w:color="auto"/>
        <w:left w:val="none" w:sz="0" w:space="0" w:color="auto"/>
        <w:bottom w:val="none" w:sz="0" w:space="0" w:color="auto"/>
        <w:right w:val="none" w:sz="0" w:space="0" w:color="auto"/>
      </w:divBdr>
      <w:divsChild>
        <w:div w:id="197552718">
          <w:marLeft w:val="0"/>
          <w:marRight w:val="0"/>
          <w:marTop w:val="0"/>
          <w:marBottom w:val="0"/>
          <w:divBdr>
            <w:top w:val="none" w:sz="0" w:space="0" w:color="auto"/>
            <w:left w:val="none" w:sz="0" w:space="0" w:color="auto"/>
            <w:bottom w:val="none" w:sz="0" w:space="0" w:color="auto"/>
            <w:right w:val="none" w:sz="0" w:space="0" w:color="auto"/>
          </w:divBdr>
        </w:div>
        <w:div w:id="232665254">
          <w:marLeft w:val="0"/>
          <w:marRight w:val="0"/>
          <w:marTop w:val="0"/>
          <w:marBottom w:val="0"/>
          <w:divBdr>
            <w:top w:val="none" w:sz="0" w:space="0" w:color="auto"/>
            <w:left w:val="none" w:sz="0" w:space="0" w:color="auto"/>
            <w:bottom w:val="none" w:sz="0" w:space="0" w:color="auto"/>
            <w:right w:val="none" w:sz="0" w:space="0" w:color="auto"/>
          </w:divBdr>
        </w:div>
        <w:div w:id="458652601">
          <w:marLeft w:val="0"/>
          <w:marRight w:val="0"/>
          <w:marTop w:val="0"/>
          <w:marBottom w:val="0"/>
          <w:divBdr>
            <w:top w:val="none" w:sz="0" w:space="0" w:color="auto"/>
            <w:left w:val="none" w:sz="0" w:space="0" w:color="auto"/>
            <w:bottom w:val="none" w:sz="0" w:space="0" w:color="auto"/>
            <w:right w:val="none" w:sz="0" w:space="0" w:color="auto"/>
          </w:divBdr>
        </w:div>
        <w:div w:id="596135278">
          <w:marLeft w:val="0"/>
          <w:marRight w:val="0"/>
          <w:marTop w:val="0"/>
          <w:marBottom w:val="0"/>
          <w:divBdr>
            <w:top w:val="none" w:sz="0" w:space="0" w:color="auto"/>
            <w:left w:val="none" w:sz="0" w:space="0" w:color="auto"/>
            <w:bottom w:val="none" w:sz="0" w:space="0" w:color="auto"/>
            <w:right w:val="none" w:sz="0" w:space="0" w:color="auto"/>
          </w:divBdr>
        </w:div>
        <w:div w:id="792093858">
          <w:marLeft w:val="0"/>
          <w:marRight w:val="0"/>
          <w:marTop w:val="0"/>
          <w:marBottom w:val="0"/>
          <w:divBdr>
            <w:top w:val="none" w:sz="0" w:space="0" w:color="auto"/>
            <w:left w:val="none" w:sz="0" w:space="0" w:color="auto"/>
            <w:bottom w:val="none" w:sz="0" w:space="0" w:color="auto"/>
            <w:right w:val="none" w:sz="0" w:space="0" w:color="auto"/>
          </w:divBdr>
        </w:div>
        <w:div w:id="1606812600">
          <w:marLeft w:val="0"/>
          <w:marRight w:val="0"/>
          <w:marTop w:val="0"/>
          <w:marBottom w:val="0"/>
          <w:divBdr>
            <w:top w:val="none" w:sz="0" w:space="0" w:color="auto"/>
            <w:left w:val="none" w:sz="0" w:space="0" w:color="auto"/>
            <w:bottom w:val="none" w:sz="0" w:space="0" w:color="auto"/>
            <w:right w:val="none" w:sz="0" w:space="0" w:color="auto"/>
          </w:divBdr>
        </w:div>
        <w:div w:id="1944605306">
          <w:marLeft w:val="0"/>
          <w:marRight w:val="0"/>
          <w:marTop w:val="0"/>
          <w:marBottom w:val="0"/>
          <w:divBdr>
            <w:top w:val="none" w:sz="0" w:space="0" w:color="auto"/>
            <w:left w:val="none" w:sz="0" w:space="0" w:color="auto"/>
            <w:bottom w:val="none" w:sz="0" w:space="0" w:color="auto"/>
            <w:right w:val="none" w:sz="0" w:space="0" w:color="auto"/>
          </w:divBdr>
        </w:div>
      </w:divsChild>
    </w:div>
    <w:div w:id="896553230">
      <w:bodyDiv w:val="1"/>
      <w:marLeft w:val="0"/>
      <w:marRight w:val="0"/>
      <w:marTop w:val="0"/>
      <w:marBottom w:val="0"/>
      <w:divBdr>
        <w:top w:val="none" w:sz="0" w:space="0" w:color="auto"/>
        <w:left w:val="none" w:sz="0" w:space="0" w:color="auto"/>
        <w:bottom w:val="none" w:sz="0" w:space="0" w:color="auto"/>
        <w:right w:val="none" w:sz="0" w:space="0" w:color="auto"/>
      </w:divBdr>
      <w:divsChild>
        <w:div w:id="50276349">
          <w:marLeft w:val="0"/>
          <w:marRight w:val="0"/>
          <w:marTop w:val="0"/>
          <w:marBottom w:val="0"/>
          <w:divBdr>
            <w:top w:val="none" w:sz="0" w:space="0" w:color="auto"/>
            <w:left w:val="none" w:sz="0" w:space="0" w:color="auto"/>
            <w:bottom w:val="none" w:sz="0" w:space="0" w:color="auto"/>
            <w:right w:val="none" w:sz="0" w:space="0" w:color="auto"/>
          </w:divBdr>
        </w:div>
        <w:div w:id="246503376">
          <w:marLeft w:val="0"/>
          <w:marRight w:val="0"/>
          <w:marTop w:val="0"/>
          <w:marBottom w:val="0"/>
          <w:divBdr>
            <w:top w:val="none" w:sz="0" w:space="0" w:color="auto"/>
            <w:left w:val="none" w:sz="0" w:space="0" w:color="auto"/>
            <w:bottom w:val="none" w:sz="0" w:space="0" w:color="auto"/>
            <w:right w:val="none" w:sz="0" w:space="0" w:color="auto"/>
          </w:divBdr>
        </w:div>
        <w:div w:id="317807002">
          <w:marLeft w:val="0"/>
          <w:marRight w:val="0"/>
          <w:marTop w:val="0"/>
          <w:marBottom w:val="0"/>
          <w:divBdr>
            <w:top w:val="none" w:sz="0" w:space="0" w:color="auto"/>
            <w:left w:val="none" w:sz="0" w:space="0" w:color="auto"/>
            <w:bottom w:val="none" w:sz="0" w:space="0" w:color="auto"/>
            <w:right w:val="none" w:sz="0" w:space="0" w:color="auto"/>
          </w:divBdr>
        </w:div>
        <w:div w:id="582222362">
          <w:marLeft w:val="0"/>
          <w:marRight w:val="0"/>
          <w:marTop w:val="0"/>
          <w:marBottom w:val="0"/>
          <w:divBdr>
            <w:top w:val="none" w:sz="0" w:space="0" w:color="auto"/>
            <w:left w:val="none" w:sz="0" w:space="0" w:color="auto"/>
            <w:bottom w:val="none" w:sz="0" w:space="0" w:color="auto"/>
            <w:right w:val="none" w:sz="0" w:space="0" w:color="auto"/>
          </w:divBdr>
        </w:div>
        <w:div w:id="630088154">
          <w:marLeft w:val="0"/>
          <w:marRight w:val="0"/>
          <w:marTop w:val="0"/>
          <w:marBottom w:val="0"/>
          <w:divBdr>
            <w:top w:val="none" w:sz="0" w:space="0" w:color="auto"/>
            <w:left w:val="none" w:sz="0" w:space="0" w:color="auto"/>
            <w:bottom w:val="none" w:sz="0" w:space="0" w:color="auto"/>
            <w:right w:val="none" w:sz="0" w:space="0" w:color="auto"/>
          </w:divBdr>
        </w:div>
        <w:div w:id="740450806">
          <w:marLeft w:val="0"/>
          <w:marRight w:val="0"/>
          <w:marTop w:val="0"/>
          <w:marBottom w:val="0"/>
          <w:divBdr>
            <w:top w:val="none" w:sz="0" w:space="0" w:color="auto"/>
            <w:left w:val="none" w:sz="0" w:space="0" w:color="auto"/>
            <w:bottom w:val="none" w:sz="0" w:space="0" w:color="auto"/>
            <w:right w:val="none" w:sz="0" w:space="0" w:color="auto"/>
          </w:divBdr>
        </w:div>
        <w:div w:id="1183671587">
          <w:marLeft w:val="0"/>
          <w:marRight w:val="0"/>
          <w:marTop w:val="0"/>
          <w:marBottom w:val="0"/>
          <w:divBdr>
            <w:top w:val="none" w:sz="0" w:space="0" w:color="auto"/>
            <w:left w:val="none" w:sz="0" w:space="0" w:color="auto"/>
            <w:bottom w:val="none" w:sz="0" w:space="0" w:color="auto"/>
            <w:right w:val="none" w:sz="0" w:space="0" w:color="auto"/>
          </w:divBdr>
        </w:div>
        <w:div w:id="1558661272">
          <w:marLeft w:val="0"/>
          <w:marRight w:val="0"/>
          <w:marTop w:val="0"/>
          <w:marBottom w:val="0"/>
          <w:divBdr>
            <w:top w:val="none" w:sz="0" w:space="0" w:color="auto"/>
            <w:left w:val="none" w:sz="0" w:space="0" w:color="auto"/>
            <w:bottom w:val="none" w:sz="0" w:space="0" w:color="auto"/>
            <w:right w:val="none" w:sz="0" w:space="0" w:color="auto"/>
          </w:divBdr>
        </w:div>
      </w:divsChild>
    </w:div>
    <w:div w:id="927813685">
      <w:bodyDiv w:val="1"/>
      <w:marLeft w:val="0"/>
      <w:marRight w:val="0"/>
      <w:marTop w:val="0"/>
      <w:marBottom w:val="0"/>
      <w:divBdr>
        <w:top w:val="none" w:sz="0" w:space="0" w:color="auto"/>
        <w:left w:val="none" w:sz="0" w:space="0" w:color="auto"/>
        <w:bottom w:val="none" w:sz="0" w:space="0" w:color="auto"/>
        <w:right w:val="none" w:sz="0" w:space="0" w:color="auto"/>
      </w:divBdr>
    </w:div>
    <w:div w:id="1196701635">
      <w:bodyDiv w:val="1"/>
      <w:marLeft w:val="0"/>
      <w:marRight w:val="0"/>
      <w:marTop w:val="0"/>
      <w:marBottom w:val="0"/>
      <w:divBdr>
        <w:top w:val="none" w:sz="0" w:space="0" w:color="auto"/>
        <w:left w:val="none" w:sz="0" w:space="0" w:color="auto"/>
        <w:bottom w:val="none" w:sz="0" w:space="0" w:color="auto"/>
        <w:right w:val="none" w:sz="0" w:space="0" w:color="auto"/>
      </w:divBdr>
      <w:divsChild>
        <w:div w:id="987199471">
          <w:marLeft w:val="0"/>
          <w:marRight w:val="0"/>
          <w:marTop w:val="0"/>
          <w:marBottom w:val="0"/>
          <w:divBdr>
            <w:top w:val="none" w:sz="0" w:space="0" w:color="auto"/>
            <w:left w:val="none" w:sz="0" w:space="0" w:color="auto"/>
            <w:bottom w:val="none" w:sz="0" w:space="0" w:color="auto"/>
            <w:right w:val="none" w:sz="0" w:space="0" w:color="auto"/>
          </w:divBdr>
        </w:div>
        <w:div w:id="1429498700">
          <w:marLeft w:val="0"/>
          <w:marRight w:val="0"/>
          <w:marTop w:val="0"/>
          <w:marBottom w:val="0"/>
          <w:divBdr>
            <w:top w:val="none" w:sz="0" w:space="0" w:color="auto"/>
            <w:left w:val="none" w:sz="0" w:space="0" w:color="auto"/>
            <w:bottom w:val="none" w:sz="0" w:space="0" w:color="auto"/>
            <w:right w:val="none" w:sz="0" w:space="0" w:color="auto"/>
          </w:divBdr>
        </w:div>
        <w:div w:id="1547185447">
          <w:marLeft w:val="0"/>
          <w:marRight w:val="0"/>
          <w:marTop w:val="0"/>
          <w:marBottom w:val="0"/>
          <w:divBdr>
            <w:top w:val="none" w:sz="0" w:space="0" w:color="auto"/>
            <w:left w:val="none" w:sz="0" w:space="0" w:color="auto"/>
            <w:bottom w:val="none" w:sz="0" w:space="0" w:color="auto"/>
            <w:right w:val="none" w:sz="0" w:space="0" w:color="auto"/>
          </w:divBdr>
        </w:div>
      </w:divsChild>
    </w:div>
    <w:div w:id="1257908512">
      <w:bodyDiv w:val="1"/>
      <w:marLeft w:val="0"/>
      <w:marRight w:val="0"/>
      <w:marTop w:val="0"/>
      <w:marBottom w:val="0"/>
      <w:divBdr>
        <w:top w:val="none" w:sz="0" w:space="0" w:color="auto"/>
        <w:left w:val="none" w:sz="0" w:space="0" w:color="auto"/>
        <w:bottom w:val="none" w:sz="0" w:space="0" w:color="auto"/>
        <w:right w:val="none" w:sz="0" w:space="0" w:color="auto"/>
      </w:divBdr>
      <w:divsChild>
        <w:div w:id="459539668">
          <w:marLeft w:val="0"/>
          <w:marRight w:val="0"/>
          <w:marTop w:val="0"/>
          <w:marBottom w:val="0"/>
          <w:divBdr>
            <w:top w:val="none" w:sz="0" w:space="0" w:color="auto"/>
            <w:left w:val="none" w:sz="0" w:space="0" w:color="auto"/>
            <w:bottom w:val="none" w:sz="0" w:space="0" w:color="auto"/>
            <w:right w:val="none" w:sz="0" w:space="0" w:color="auto"/>
          </w:divBdr>
        </w:div>
        <w:div w:id="523254275">
          <w:marLeft w:val="0"/>
          <w:marRight w:val="0"/>
          <w:marTop w:val="0"/>
          <w:marBottom w:val="0"/>
          <w:divBdr>
            <w:top w:val="none" w:sz="0" w:space="0" w:color="auto"/>
            <w:left w:val="none" w:sz="0" w:space="0" w:color="auto"/>
            <w:bottom w:val="none" w:sz="0" w:space="0" w:color="auto"/>
            <w:right w:val="none" w:sz="0" w:space="0" w:color="auto"/>
          </w:divBdr>
        </w:div>
        <w:div w:id="683746276">
          <w:marLeft w:val="0"/>
          <w:marRight w:val="0"/>
          <w:marTop w:val="0"/>
          <w:marBottom w:val="0"/>
          <w:divBdr>
            <w:top w:val="none" w:sz="0" w:space="0" w:color="auto"/>
            <w:left w:val="none" w:sz="0" w:space="0" w:color="auto"/>
            <w:bottom w:val="none" w:sz="0" w:space="0" w:color="auto"/>
            <w:right w:val="none" w:sz="0" w:space="0" w:color="auto"/>
          </w:divBdr>
        </w:div>
        <w:div w:id="772866708">
          <w:marLeft w:val="0"/>
          <w:marRight w:val="0"/>
          <w:marTop w:val="0"/>
          <w:marBottom w:val="0"/>
          <w:divBdr>
            <w:top w:val="none" w:sz="0" w:space="0" w:color="auto"/>
            <w:left w:val="none" w:sz="0" w:space="0" w:color="auto"/>
            <w:bottom w:val="none" w:sz="0" w:space="0" w:color="auto"/>
            <w:right w:val="none" w:sz="0" w:space="0" w:color="auto"/>
          </w:divBdr>
        </w:div>
        <w:div w:id="909119457">
          <w:marLeft w:val="0"/>
          <w:marRight w:val="0"/>
          <w:marTop w:val="0"/>
          <w:marBottom w:val="0"/>
          <w:divBdr>
            <w:top w:val="none" w:sz="0" w:space="0" w:color="auto"/>
            <w:left w:val="none" w:sz="0" w:space="0" w:color="auto"/>
            <w:bottom w:val="none" w:sz="0" w:space="0" w:color="auto"/>
            <w:right w:val="none" w:sz="0" w:space="0" w:color="auto"/>
          </w:divBdr>
        </w:div>
        <w:div w:id="1188719708">
          <w:marLeft w:val="0"/>
          <w:marRight w:val="0"/>
          <w:marTop w:val="0"/>
          <w:marBottom w:val="0"/>
          <w:divBdr>
            <w:top w:val="none" w:sz="0" w:space="0" w:color="auto"/>
            <w:left w:val="none" w:sz="0" w:space="0" w:color="auto"/>
            <w:bottom w:val="none" w:sz="0" w:space="0" w:color="auto"/>
            <w:right w:val="none" w:sz="0" w:space="0" w:color="auto"/>
          </w:divBdr>
        </w:div>
        <w:div w:id="1687170279">
          <w:marLeft w:val="0"/>
          <w:marRight w:val="0"/>
          <w:marTop w:val="0"/>
          <w:marBottom w:val="0"/>
          <w:divBdr>
            <w:top w:val="none" w:sz="0" w:space="0" w:color="auto"/>
            <w:left w:val="none" w:sz="0" w:space="0" w:color="auto"/>
            <w:bottom w:val="none" w:sz="0" w:space="0" w:color="auto"/>
            <w:right w:val="none" w:sz="0" w:space="0" w:color="auto"/>
          </w:divBdr>
        </w:div>
        <w:div w:id="2085837461">
          <w:marLeft w:val="0"/>
          <w:marRight w:val="0"/>
          <w:marTop w:val="0"/>
          <w:marBottom w:val="0"/>
          <w:divBdr>
            <w:top w:val="none" w:sz="0" w:space="0" w:color="auto"/>
            <w:left w:val="none" w:sz="0" w:space="0" w:color="auto"/>
            <w:bottom w:val="none" w:sz="0" w:space="0" w:color="auto"/>
            <w:right w:val="none" w:sz="0" w:space="0" w:color="auto"/>
          </w:divBdr>
        </w:div>
        <w:div w:id="2111075335">
          <w:marLeft w:val="0"/>
          <w:marRight w:val="0"/>
          <w:marTop w:val="0"/>
          <w:marBottom w:val="0"/>
          <w:divBdr>
            <w:top w:val="none" w:sz="0" w:space="0" w:color="auto"/>
            <w:left w:val="none" w:sz="0" w:space="0" w:color="auto"/>
            <w:bottom w:val="none" w:sz="0" w:space="0" w:color="auto"/>
            <w:right w:val="none" w:sz="0" w:space="0" w:color="auto"/>
          </w:divBdr>
        </w:div>
      </w:divsChild>
    </w:div>
    <w:div w:id="1330055687">
      <w:bodyDiv w:val="1"/>
      <w:marLeft w:val="0"/>
      <w:marRight w:val="0"/>
      <w:marTop w:val="0"/>
      <w:marBottom w:val="0"/>
      <w:divBdr>
        <w:top w:val="none" w:sz="0" w:space="0" w:color="auto"/>
        <w:left w:val="none" w:sz="0" w:space="0" w:color="auto"/>
        <w:bottom w:val="none" w:sz="0" w:space="0" w:color="auto"/>
        <w:right w:val="none" w:sz="0" w:space="0" w:color="auto"/>
      </w:divBdr>
      <w:divsChild>
        <w:div w:id="983893742">
          <w:marLeft w:val="0"/>
          <w:marRight w:val="0"/>
          <w:marTop w:val="0"/>
          <w:marBottom w:val="0"/>
          <w:divBdr>
            <w:top w:val="none" w:sz="0" w:space="0" w:color="auto"/>
            <w:left w:val="none" w:sz="0" w:space="0" w:color="auto"/>
            <w:bottom w:val="none" w:sz="0" w:space="0" w:color="auto"/>
            <w:right w:val="none" w:sz="0" w:space="0" w:color="auto"/>
          </w:divBdr>
        </w:div>
      </w:divsChild>
    </w:div>
    <w:div w:id="1603762502">
      <w:bodyDiv w:val="1"/>
      <w:marLeft w:val="0"/>
      <w:marRight w:val="0"/>
      <w:marTop w:val="0"/>
      <w:marBottom w:val="0"/>
      <w:divBdr>
        <w:top w:val="none" w:sz="0" w:space="0" w:color="auto"/>
        <w:left w:val="none" w:sz="0" w:space="0" w:color="auto"/>
        <w:bottom w:val="none" w:sz="0" w:space="0" w:color="auto"/>
        <w:right w:val="none" w:sz="0" w:space="0" w:color="auto"/>
      </w:divBdr>
    </w:div>
    <w:div w:id="1617101023">
      <w:bodyDiv w:val="1"/>
      <w:marLeft w:val="0"/>
      <w:marRight w:val="0"/>
      <w:marTop w:val="0"/>
      <w:marBottom w:val="0"/>
      <w:divBdr>
        <w:top w:val="none" w:sz="0" w:space="0" w:color="auto"/>
        <w:left w:val="none" w:sz="0" w:space="0" w:color="auto"/>
        <w:bottom w:val="none" w:sz="0" w:space="0" w:color="auto"/>
        <w:right w:val="none" w:sz="0" w:space="0" w:color="auto"/>
      </w:divBdr>
      <w:divsChild>
        <w:div w:id="44111506">
          <w:marLeft w:val="0"/>
          <w:marRight w:val="0"/>
          <w:marTop w:val="0"/>
          <w:marBottom w:val="0"/>
          <w:divBdr>
            <w:top w:val="none" w:sz="0" w:space="0" w:color="auto"/>
            <w:left w:val="none" w:sz="0" w:space="0" w:color="auto"/>
            <w:bottom w:val="none" w:sz="0" w:space="0" w:color="auto"/>
            <w:right w:val="none" w:sz="0" w:space="0" w:color="auto"/>
          </w:divBdr>
        </w:div>
        <w:div w:id="54550493">
          <w:marLeft w:val="0"/>
          <w:marRight w:val="0"/>
          <w:marTop w:val="0"/>
          <w:marBottom w:val="0"/>
          <w:divBdr>
            <w:top w:val="none" w:sz="0" w:space="0" w:color="auto"/>
            <w:left w:val="none" w:sz="0" w:space="0" w:color="auto"/>
            <w:bottom w:val="none" w:sz="0" w:space="0" w:color="auto"/>
            <w:right w:val="none" w:sz="0" w:space="0" w:color="auto"/>
          </w:divBdr>
        </w:div>
        <w:div w:id="104272678">
          <w:marLeft w:val="0"/>
          <w:marRight w:val="0"/>
          <w:marTop w:val="0"/>
          <w:marBottom w:val="0"/>
          <w:divBdr>
            <w:top w:val="none" w:sz="0" w:space="0" w:color="auto"/>
            <w:left w:val="none" w:sz="0" w:space="0" w:color="auto"/>
            <w:bottom w:val="none" w:sz="0" w:space="0" w:color="auto"/>
            <w:right w:val="none" w:sz="0" w:space="0" w:color="auto"/>
          </w:divBdr>
        </w:div>
        <w:div w:id="137039212">
          <w:marLeft w:val="0"/>
          <w:marRight w:val="0"/>
          <w:marTop w:val="0"/>
          <w:marBottom w:val="0"/>
          <w:divBdr>
            <w:top w:val="none" w:sz="0" w:space="0" w:color="auto"/>
            <w:left w:val="none" w:sz="0" w:space="0" w:color="auto"/>
            <w:bottom w:val="none" w:sz="0" w:space="0" w:color="auto"/>
            <w:right w:val="none" w:sz="0" w:space="0" w:color="auto"/>
          </w:divBdr>
        </w:div>
        <w:div w:id="430707568">
          <w:marLeft w:val="0"/>
          <w:marRight w:val="0"/>
          <w:marTop w:val="0"/>
          <w:marBottom w:val="0"/>
          <w:divBdr>
            <w:top w:val="none" w:sz="0" w:space="0" w:color="auto"/>
            <w:left w:val="none" w:sz="0" w:space="0" w:color="auto"/>
            <w:bottom w:val="none" w:sz="0" w:space="0" w:color="auto"/>
            <w:right w:val="none" w:sz="0" w:space="0" w:color="auto"/>
          </w:divBdr>
        </w:div>
        <w:div w:id="479923197">
          <w:marLeft w:val="0"/>
          <w:marRight w:val="0"/>
          <w:marTop w:val="0"/>
          <w:marBottom w:val="0"/>
          <w:divBdr>
            <w:top w:val="none" w:sz="0" w:space="0" w:color="auto"/>
            <w:left w:val="none" w:sz="0" w:space="0" w:color="auto"/>
            <w:bottom w:val="none" w:sz="0" w:space="0" w:color="auto"/>
            <w:right w:val="none" w:sz="0" w:space="0" w:color="auto"/>
          </w:divBdr>
        </w:div>
        <w:div w:id="578754911">
          <w:marLeft w:val="0"/>
          <w:marRight w:val="0"/>
          <w:marTop w:val="0"/>
          <w:marBottom w:val="0"/>
          <w:divBdr>
            <w:top w:val="none" w:sz="0" w:space="0" w:color="auto"/>
            <w:left w:val="none" w:sz="0" w:space="0" w:color="auto"/>
            <w:bottom w:val="none" w:sz="0" w:space="0" w:color="auto"/>
            <w:right w:val="none" w:sz="0" w:space="0" w:color="auto"/>
          </w:divBdr>
        </w:div>
        <w:div w:id="793212577">
          <w:marLeft w:val="0"/>
          <w:marRight w:val="0"/>
          <w:marTop w:val="0"/>
          <w:marBottom w:val="0"/>
          <w:divBdr>
            <w:top w:val="none" w:sz="0" w:space="0" w:color="auto"/>
            <w:left w:val="none" w:sz="0" w:space="0" w:color="auto"/>
            <w:bottom w:val="none" w:sz="0" w:space="0" w:color="auto"/>
            <w:right w:val="none" w:sz="0" w:space="0" w:color="auto"/>
          </w:divBdr>
        </w:div>
        <w:div w:id="904798865">
          <w:marLeft w:val="0"/>
          <w:marRight w:val="0"/>
          <w:marTop w:val="0"/>
          <w:marBottom w:val="0"/>
          <w:divBdr>
            <w:top w:val="none" w:sz="0" w:space="0" w:color="auto"/>
            <w:left w:val="none" w:sz="0" w:space="0" w:color="auto"/>
            <w:bottom w:val="none" w:sz="0" w:space="0" w:color="auto"/>
            <w:right w:val="none" w:sz="0" w:space="0" w:color="auto"/>
          </w:divBdr>
        </w:div>
        <w:div w:id="907156729">
          <w:marLeft w:val="0"/>
          <w:marRight w:val="0"/>
          <w:marTop w:val="0"/>
          <w:marBottom w:val="0"/>
          <w:divBdr>
            <w:top w:val="none" w:sz="0" w:space="0" w:color="auto"/>
            <w:left w:val="none" w:sz="0" w:space="0" w:color="auto"/>
            <w:bottom w:val="none" w:sz="0" w:space="0" w:color="auto"/>
            <w:right w:val="none" w:sz="0" w:space="0" w:color="auto"/>
          </w:divBdr>
        </w:div>
        <w:div w:id="924072743">
          <w:marLeft w:val="0"/>
          <w:marRight w:val="0"/>
          <w:marTop w:val="0"/>
          <w:marBottom w:val="0"/>
          <w:divBdr>
            <w:top w:val="none" w:sz="0" w:space="0" w:color="auto"/>
            <w:left w:val="none" w:sz="0" w:space="0" w:color="auto"/>
            <w:bottom w:val="none" w:sz="0" w:space="0" w:color="auto"/>
            <w:right w:val="none" w:sz="0" w:space="0" w:color="auto"/>
          </w:divBdr>
        </w:div>
        <w:div w:id="1136072977">
          <w:marLeft w:val="0"/>
          <w:marRight w:val="0"/>
          <w:marTop w:val="0"/>
          <w:marBottom w:val="0"/>
          <w:divBdr>
            <w:top w:val="none" w:sz="0" w:space="0" w:color="auto"/>
            <w:left w:val="none" w:sz="0" w:space="0" w:color="auto"/>
            <w:bottom w:val="none" w:sz="0" w:space="0" w:color="auto"/>
            <w:right w:val="none" w:sz="0" w:space="0" w:color="auto"/>
          </w:divBdr>
        </w:div>
        <w:div w:id="1137186851">
          <w:marLeft w:val="0"/>
          <w:marRight w:val="0"/>
          <w:marTop w:val="0"/>
          <w:marBottom w:val="0"/>
          <w:divBdr>
            <w:top w:val="none" w:sz="0" w:space="0" w:color="auto"/>
            <w:left w:val="none" w:sz="0" w:space="0" w:color="auto"/>
            <w:bottom w:val="none" w:sz="0" w:space="0" w:color="auto"/>
            <w:right w:val="none" w:sz="0" w:space="0" w:color="auto"/>
          </w:divBdr>
        </w:div>
        <w:div w:id="1152016276">
          <w:marLeft w:val="0"/>
          <w:marRight w:val="0"/>
          <w:marTop w:val="0"/>
          <w:marBottom w:val="0"/>
          <w:divBdr>
            <w:top w:val="none" w:sz="0" w:space="0" w:color="auto"/>
            <w:left w:val="none" w:sz="0" w:space="0" w:color="auto"/>
            <w:bottom w:val="none" w:sz="0" w:space="0" w:color="auto"/>
            <w:right w:val="none" w:sz="0" w:space="0" w:color="auto"/>
          </w:divBdr>
        </w:div>
        <w:div w:id="1165630361">
          <w:marLeft w:val="0"/>
          <w:marRight w:val="0"/>
          <w:marTop w:val="0"/>
          <w:marBottom w:val="0"/>
          <w:divBdr>
            <w:top w:val="none" w:sz="0" w:space="0" w:color="auto"/>
            <w:left w:val="none" w:sz="0" w:space="0" w:color="auto"/>
            <w:bottom w:val="none" w:sz="0" w:space="0" w:color="auto"/>
            <w:right w:val="none" w:sz="0" w:space="0" w:color="auto"/>
          </w:divBdr>
        </w:div>
        <w:div w:id="1218589858">
          <w:marLeft w:val="0"/>
          <w:marRight w:val="0"/>
          <w:marTop w:val="0"/>
          <w:marBottom w:val="0"/>
          <w:divBdr>
            <w:top w:val="none" w:sz="0" w:space="0" w:color="auto"/>
            <w:left w:val="none" w:sz="0" w:space="0" w:color="auto"/>
            <w:bottom w:val="none" w:sz="0" w:space="0" w:color="auto"/>
            <w:right w:val="none" w:sz="0" w:space="0" w:color="auto"/>
          </w:divBdr>
        </w:div>
        <w:div w:id="1299650502">
          <w:marLeft w:val="0"/>
          <w:marRight w:val="0"/>
          <w:marTop w:val="0"/>
          <w:marBottom w:val="0"/>
          <w:divBdr>
            <w:top w:val="none" w:sz="0" w:space="0" w:color="auto"/>
            <w:left w:val="none" w:sz="0" w:space="0" w:color="auto"/>
            <w:bottom w:val="none" w:sz="0" w:space="0" w:color="auto"/>
            <w:right w:val="none" w:sz="0" w:space="0" w:color="auto"/>
          </w:divBdr>
        </w:div>
        <w:div w:id="1342513700">
          <w:marLeft w:val="0"/>
          <w:marRight w:val="0"/>
          <w:marTop w:val="0"/>
          <w:marBottom w:val="0"/>
          <w:divBdr>
            <w:top w:val="none" w:sz="0" w:space="0" w:color="auto"/>
            <w:left w:val="none" w:sz="0" w:space="0" w:color="auto"/>
            <w:bottom w:val="none" w:sz="0" w:space="0" w:color="auto"/>
            <w:right w:val="none" w:sz="0" w:space="0" w:color="auto"/>
          </w:divBdr>
        </w:div>
        <w:div w:id="1448891556">
          <w:marLeft w:val="0"/>
          <w:marRight w:val="0"/>
          <w:marTop w:val="0"/>
          <w:marBottom w:val="0"/>
          <w:divBdr>
            <w:top w:val="none" w:sz="0" w:space="0" w:color="auto"/>
            <w:left w:val="none" w:sz="0" w:space="0" w:color="auto"/>
            <w:bottom w:val="none" w:sz="0" w:space="0" w:color="auto"/>
            <w:right w:val="none" w:sz="0" w:space="0" w:color="auto"/>
          </w:divBdr>
        </w:div>
        <w:div w:id="1481270267">
          <w:marLeft w:val="0"/>
          <w:marRight w:val="0"/>
          <w:marTop w:val="0"/>
          <w:marBottom w:val="0"/>
          <w:divBdr>
            <w:top w:val="none" w:sz="0" w:space="0" w:color="auto"/>
            <w:left w:val="none" w:sz="0" w:space="0" w:color="auto"/>
            <w:bottom w:val="none" w:sz="0" w:space="0" w:color="auto"/>
            <w:right w:val="none" w:sz="0" w:space="0" w:color="auto"/>
          </w:divBdr>
        </w:div>
        <w:div w:id="1600410938">
          <w:marLeft w:val="0"/>
          <w:marRight w:val="0"/>
          <w:marTop w:val="0"/>
          <w:marBottom w:val="0"/>
          <w:divBdr>
            <w:top w:val="none" w:sz="0" w:space="0" w:color="auto"/>
            <w:left w:val="none" w:sz="0" w:space="0" w:color="auto"/>
            <w:bottom w:val="none" w:sz="0" w:space="0" w:color="auto"/>
            <w:right w:val="none" w:sz="0" w:space="0" w:color="auto"/>
          </w:divBdr>
        </w:div>
        <w:div w:id="1626084942">
          <w:marLeft w:val="0"/>
          <w:marRight w:val="0"/>
          <w:marTop w:val="0"/>
          <w:marBottom w:val="0"/>
          <w:divBdr>
            <w:top w:val="none" w:sz="0" w:space="0" w:color="auto"/>
            <w:left w:val="none" w:sz="0" w:space="0" w:color="auto"/>
            <w:bottom w:val="none" w:sz="0" w:space="0" w:color="auto"/>
            <w:right w:val="none" w:sz="0" w:space="0" w:color="auto"/>
          </w:divBdr>
        </w:div>
        <w:div w:id="1798138383">
          <w:marLeft w:val="0"/>
          <w:marRight w:val="0"/>
          <w:marTop w:val="0"/>
          <w:marBottom w:val="0"/>
          <w:divBdr>
            <w:top w:val="none" w:sz="0" w:space="0" w:color="auto"/>
            <w:left w:val="none" w:sz="0" w:space="0" w:color="auto"/>
            <w:bottom w:val="none" w:sz="0" w:space="0" w:color="auto"/>
            <w:right w:val="none" w:sz="0" w:space="0" w:color="auto"/>
          </w:divBdr>
        </w:div>
        <w:div w:id="1802187482">
          <w:marLeft w:val="0"/>
          <w:marRight w:val="0"/>
          <w:marTop w:val="0"/>
          <w:marBottom w:val="0"/>
          <w:divBdr>
            <w:top w:val="none" w:sz="0" w:space="0" w:color="auto"/>
            <w:left w:val="none" w:sz="0" w:space="0" w:color="auto"/>
            <w:bottom w:val="none" w:sz="0" w:space="0" w:color="auto"/>
            <w:right w:val="none" w:sz="0" w:space="0" w:color="auto"/>
          </w:divBdr>
        </w:div>
        <w:div w:id="1837526991">
          <w:marLeft w:val="0"/>
          <w:marRight w:val="0"/>
          <w:marTop w:val="0"/>
          <w:marBottom w:val="0"/>
          <w:divBdr>
            <w:top w:val="none" w:sz="0" w:space="0" w:color="auto"/>
            <w:left w:val="none" w:sz="0" w:space="0" w:color="auto"/>
            <w:bottom w:val="none" w:sz="0" w:space="0" w:color="auto"/>
            <w:right w:val="none" w:sz="0" w:space="0" w:color="auto"/>
          </w:divBdr>
        </w:div>
        <w:div w:id="1847741038">
          <w:marLeft w:val="0"/>
          <w:marRight w:val="0"/>
          <w:marTop w:val="0"/>
          <w:marBottom w:val="0"/>
          <w:divBdr>
            <w:top w:val="none" w:sz="0" w:space="0" w:color="auto"/>
            <w:left w:val="none" w:sz="0" w:space="0" w:color="auto"/>
            <w:bottom w:val="none" w:sz="0" w:space="0" w:color="auto"/>
            <w:right w:val="none" w:sz="0" w:space="0" w:color="auto"/>
          </w:divBdr>
        </w:div>
        <w:div w:id="1867055634">
          <w:marLeft w:val="0"/>
          <w:marRight w:val="0"/>
          <w:marTop w:val="0"/>
          <w:marBottom w:val="0"/>
          <w:divBdr>
            <w:top w:val="none" w:sz="0" w:space="0" w:color="auto"/>
            <w:left w:val="none" w:sz="0" w:space="0" w:color="auto"/>
            <w:bottom w:val="none" w:sz="0" w:space="0" w:color="auto"/>
            <w:right w:val="none" w:sz="0" w:space="0" w:color="auto"/>
          </w:divBdr>
        </w:div>
        <w:div w:id="1886529227">
          <w:marLeft w:val="0"/>
          <w:marRight w:val="0"/>
          <w:marTop w:val="0"/>
          <w:marBottom w:val="0"/>
          <w:divBdr>
            <w:top w:val="none" w:sz="0" w:space="0" w:color="auto"/>
            <w:left w:val="none" w:sz="0" w:space="0" w:color="auto"/>
            <w:bottom w:val="none" w:sz="0" w:space="0" w:color="auto"/>
            <w:right w:val="none" w:sz="0" w:space="0" w:color="auto"/>
          </w:divBdr>
        </w:div>
        <w:div w:id="1923681420">
          <w:marLeft w:val="0"/>
          <w:marRight w:val="0"/>
          <w:marTop w:val="0"/>
          <w:marBottom w:val="0"/>
          <w:divBdr>
            <w:top w:val="none" w:sz="0" w:space="0" w:color="auto"/>
            <w:left w:val="none" w:sz="0" w:space="0" w:color="auto"/>
            <w:bottom w:val="none" w:sz="0" w:space="0" w:color="auto"/>
            <w:right w:val="none" w:sz="0" w:space="0" w:color="auto"/>
          </w:divBdr>
        </w:div>
        <w:div w:id="2073231780">
          <w:marLeft w:val="0"/>
          <w:marRight w:val="0"/>
          <w:marTop w:val="0"/>
          <w:marBottom w:val="0"/>
          <w:divBdr>
            <w:top w:val="none" w:sz="0" w:space="0" w:color="auto"/>
            <w:left w:val="none" w:sz="0" w:space="0" w:color="auto"/>
            <w:bottom w:val="none" w:sz="0" w:space="0" w:color="auto"/>
            <w:right w:val="none" w:sz="0" w:space="0" w:color="auto"/>
          </w:divBdr>
        </w:div>
        <w:div w:id="2126652454">
          <w:marLeft w:val="0"/>
          <w:marRight w:val="0"/>
          <w:marTop w:val="0"/>
          <w:marBottom w:val="0"/>
          <w:divBdr>
            <w:top w:val="none" w:sz="0" w:space="0" w:color="auto"/>
            <w:left w:val="none" w:sz="0" w:space="0" w:color="auto"/>
            <w:bottom w:val="none" w:sz="0" w:space="0" w:color="auto"/>
            <w:right w:val="none" w:sz="0" w:space="0" w:color="auto"/>
          </w:divBdr>
        </w:div>
      </w:divsChild>
    </w:div>
    <w:div w:id="1798529465">
      <w:bodyDiv w:val="1"/>
      <w:marLeft w:val="0"/>
      <w:marRight w:val="0"/>
      <w:marTop w:val="0"/>
      <w:marBottom w:val="0"/>
      <w:divBdr>
        <w:top w:val="none" w:sz="0" w:space="0" w:color="auto"/>
        <w:left w:val="none" w:sz="0" w:space="0" w:color="auto"/>
        <w:bottom w:val="none" w:sz="0" w:space="0" w:color="auto"/>
        <w:right w:val="none" w:sz="0" w:space="0" w:color="auto"/>
      </w:divBdr>
      <w:divsChild>
        <w:div w:id="1406801120">
          <w:marLeft w:val="0"/>
          <w:marRight w:val="0"/>
          <w:marTop w:val="0"/>
          <w:marBottom w:val="0"/>
          <w:divBdr>
            <w:top w:val="none" w:sz="0" w:space="0" w:color="auto"/>
            <w:left w:val="none" w:sz="0" w:space="0" w:color="auto"/>
            <w:bottom w:val="none" w:sz="0" w:space="0" w:color="auto"/>
            <w:right w:val="none" w:sz="0" w:space="0" w:color="auto"/>
          </w:divBdr>
        </w:div>
        <w:div w:id="1624073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rpleorange.org.au/what-we-do/library-our-work/guide-co-design-people-living-disabilit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at.gov.au/about-the-aat/corporate-information/annual-reports/2022-23-annual-report/2022-23-at-a-gl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purpleorange.org.au/what-we-do/library-our-work/model-citizenhood-suppor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bs.gov.au/articles/disability-and-labour-for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Time xmlns="d40cd17d-395b-49a6-a449-4db40669aa08" xsi:nil="true"/>
    <lcf76f155ced4ddcb4097134ff3c332f xmlns="d40cd17d-395b-49a6-a449-4db40669aa08">
      <Terms xmlns="http://schemas.microsoft.com/office/infopath/2007/PartnerControls"/>
    </lcf76f155ced4ddcb4097134ff3c332f>
    <TaxCatchAll xmlns="c639d33e-a57d-4ba9-bdad-95bee2182b1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771869CDFEAAB40BA2C6B37D5751380" ma:contentTypeVersion="19" ma:contentTypeDescription="Create a new document." ma:contentTypeScope="" ma:versionID="b9f143074d2c6a67691d1ff8b91ac22f">
  <xsd:schema xmlns:xsd="http://www.w3.org/2001/XMLSchema" xmlns:xs="http://www.w3.org/2001/XMLSchema" xmlns:p="http://schemas.microsoft.com/office/2006/metadata/properties" xmlns:ns2="d40cd17d-395b-49a6-a449-4db40669aa08" xmlns:ns3="c639d33e-a57d-4ba9-bdad-95bee2182b18" targetNamespace="http://schemas.microsoft.com/office/2006/metadata/properties" ma:root="true" ma:fieldsID="99698d9997e468fc9134688794619ac4" ns2:_="" ns3:_="">
    <xsd:import namespace="d40cd17d-395b-49a6-a449-4db40669aa08"/>
    <xsd:import namespace="c639d33e-a57d-4ba9-bdad-95bee2182b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DateTi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0cd17d-395b-49a6-a449-4db40669aa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b5c644-2f09-4f9f-84c4-3b4ab586084b" ma:termSetId="09814cd3-568e-fe90-9814-8d621ff8fb84" ma:anchorId="fba54fb3-c3e1-fe81-a776-ca4b69148c4d" ma:open="true" ma:isKeyword="false">
      <xsd:complexType>
        <xsd:sequence>
          <xsd:element ref="pc:Terms" minOccurs="0" maxOccurs="1"/>
        </xsd:sequence>
      </xsd:complexType>
    </xsd:element>
    <xsd:element name="DateTime" ma:index="24" nillable="true" ma:displayName="Date Time" ma:format="DateOnly" ma:internalName="Dat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39d33e-a57d-4ba9-bdad-95bee2182b1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bd176f-355a-4825-a532-a34828c87ef3}" ma:internalName="TaxCatchAll" ma:showField="CatchAllData" ma:web="c639d33e-a57d-4ba9-bdad-95bee2182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17DF04-DA35-4F33-B323-C30146CCA130}">
  <ds:schemaRefs>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http://www.w3.org/XML/1998/namespace"/>
    <ds:schemaRef ds:uri="d40cd17d-395b-49a6-a449-4db40669aa08"/>
    <ds:schemaRef ds:uri="http://purl.org/dc/terms/"/>
    <ds:schemaRef ds:uri="c639d33e-a57d-4ba9-bdad-95bee2182b18"/>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35D36577-B6AF-485F-A5A0-98CD893A725B}">
  <ds:schemaRefs>
    <ds:schemaRef ds:uri="http://schemas.openxmlformats.org/officeDocument/2006/bibliography"/>
  </ds:schemaRefs>
</ds:datastoreItem>
</file>

<file path=customXml/itemProps3.xml><?xml version="1.0" encoding="utf-8"?>
<ds:datastoreItem xmlns:ds="http://schemas.openxmlformats.org/officeDocument/2006/customXml" ds:itemID="{897D9C6D-91E7-4270-B8DC-8728AA0FC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0cd17d-395b-49a6-a449-4db40669aa08"/>
    <ds:schemaRef ds:uri="c639d33e-a57d-4ba9-bdad-95bee2182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057309-D995-4980-8BBF-21DCAA60CD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7152</Words>
  <Characters>40773</Characters>
  <Application>Microsoft Office Word</Application>
  <DocSecurity>0</DocSecurity>
  <Lines>339</Lines>
  <Paragraphs>95</Paragraphs>
  <ScaleCrop>false</ScaleCrop>
  <Company/>
  <LinksUpToDate>false</LinksUpToDate>
  <CharactersWithSpaces>47830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Murphy</dc:creator>
  <cp:keywords/>
  <dc:description/>
  <cp:lastModifiedBy>Nicole Roach</cp:lastModifiedBy>
  <cp:revision>2</cp:revision>
  <dcterms:created xsi:type="dcterms:W3CDTF">2024-02-01T06:01:00Z</dcterms:created>
  <dcterms:modified xsi:type="dcterms:W3CDTF">2024-02-01T06:01:00Z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0x0101001771869CDFEAAB40BA2C6B37D5751380</vt:lpwstr>
  </property>
  <property fmtid="{D5CDD505-2E9C-101B-9397-08002B2CF9AE}" pid="3" name="MediaServiceImageTags">
    <vt:lpwstr/>
  </property>
</Properties>
</file>