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6EC7D"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97278B2" w14:textId="32567B19"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338A2EC"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5A2E9FAD" w14:textId="2A15D0F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21FE5B37"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3F83E1D"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0D01B6B7" w14:textId="49B08557" w:rsidR="00447E60" w:rsidRPr="008B120B" w:rsidRDefault="003E0A5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r w:rsidRPr="008B120B">
        <w:rPr>
          <w:rStyle w:val="BookTitle"/>
          <w:noProof/>
          <w:lang w:eastAsia="en-AU"/>
        </w:rPr>
        <w:drawing>
          <wp:inline distT="0" distB="0" distL="0" distR="0" wp14:anchorId="614F5348" wp14:editId="3B3AE525">
            <wp:extent cx="2219325" cy="1925763"/>
            <wp:effectExtent l="0" t="0" r="0" b="0"/>
            <wp:docPr id="1" name="Picture 1" descr="J:\COMMUNICATIONS\01 Logo and Letterhead\Purple Orange Logo 2018\RGB (Best for Screens)\Purple-Orange-Logo-RG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01 Logo and Letterhead\Purple Orange Logo 2018\RGB (Best for Screens)\Purple-Orange-Logo-RGB.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491" cy="1931981"/>
                    </a:xfrm>
                    <a:prstGeom prst="rect">
                      <a:avLst/>
                    </a:prstGeom>
                    <a:noFill/>
                    <a:ln>
                      <a:noFill/>
                    </a:ln>
                  </pic:spPr>
                </pic:pic>
              </a:graphicData>
            </a:graphic>
          </wp:inline>
        </w:drawing>
      </w:r>
    </w:p>
    <w:p w14:paraId="15CB4DEB" w14:textId="77777777" w:rsidR="00B74B65" w:rsidRPr="008B120B" w:rsidRDefault="00B74B65" w:rsidP="00B74B65">
      <w:pPr>
        <w:jc w:val="center"/>
        <w:rPr>
          <w:b/>
          <w:sz w:val="46"/>
          <w:lang w:eastAsia="ja-JP"/>
        </w:rPr>
      </w:pPr>
    </w:p>
    <w:p w14:paraId="77A4550A" w14:textId="61501C39" w:rsidR="00CC2D57" w:rsidRPr="008B120B" w:rsidRDefault="00094725" w:rsidP="00CC2D57">
      <w:pPr>
        <w:spacing w:line="240" w:lineRule="auto"/>
        <w:jc w:val="center"/>
        <w:rPr>
          <w:rStyle w:val="BookTitle"/>
        </w:rPr>
      </w:pPr>
      <w:r w:rsidRPr="00094725">
        <w:rPr>
          <w:rStyle w:val="BookTitle"/>
        </w:rPr>
        <w:t xml:space="preserve">Submission to </w:t>
      </w:r>
      <w:r w:rsidR="0003457E">
        <w:rPr>
          <w:rStyle w:val="BookTitle"/>
        </w:rPr>
        <w:t>the Australian Government regarding General Foundational Supports</w:t>
      </w:r>
    </w:p>
    <w:p w14:paraId="42872DF3" w14:textId="40E2F851" w:rsidR="00031484" w:rsidRPr="008B120B" w:rsidRDefault="00031484" w:rsidP="00094725">
      <w:pPr>
        <w:spacing w:line="240" w:lineRule="auto"/>
        <w:jc w:val="center"/>
        <w:rPr>
          <w:rStyle w:val="BookTitle"/>
        </w:rPr>
      </w:pPr>
    </w:p>
    <w:p w14:paraId="56FA9493" w14:textId="77777777" w:rsidR="00B74B65" w:rsidRPr="008B120B" w:rsidRDefault="00B74B65" w:rsidP="00D003C5">
      <w:pPr>
        <w:rPr>
          <w:lang w:eastAsia="ja-JP"/>
        </w:rPr>
      </w:pPr>
    </w:p>
    <w:p w14:paraId="6622A850" w14:textId="66402FC8" w:rsidR="000F5A0E" w:rsidRPr="00916D7C" w:rsidRDefault="0003457E" w:rsidP="000F5A0E">
      <w:pPr>
        <w:jc w:val="center"/>
        <w:rPr>
          <w:b/>
          <w:bCs/>
          <w:sz w:val="32"/>
          <w:szCs w:val="32"/>
          <w:lang w:eastAsia="ja-JP"/>
        </w:rPr>
      </w:pPr>
      <w:r>
        <w:rPr>
          <w:b/>
          <w:bCs/>
          <w:sz w:val="32"/>
          <w:szCs w:val="32"/>
          <w:lang w:eastAsia="ja-JP"/>
        </w:rPr>
        <w:t>December 2024</w:t>
      </w:r>
    </w:p>
    <w:p w14:paraId="5A9FE7E4" w14:textId="77777777" w:rsidR="00031484" w:rsidRPr="008B120B" w:rsidRDefault="00031484" w:rsidP="00D003C5">
      <w:pPr>
        <w:rPr>
          <w:lang w:eastAsia="ja-JP"/>
        </w:rPr>
      </w:pPr>
    </w:p>
    <w:p w14:paraId="0745BE21" w14:textId="35739A67" w:rsidR="00B74B65" w:rsidRPr="008B120B" w:rsidRDefault="00B74B65" w:rsidP="00B74B6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FF0000"/>
          <w:szCs w:val="24"/>
        </w:rPr>
      </w:pPr>
    </w:p>
    <w:p w14:paraId="199BA672" w14:textId="77777777" w:rsidR="00B74B65" w:rsidRPr="008B120B" w:rsidRDefault="00B74B65">
      <w:pPr>
        <w:spacing w:after="200" w:line="276" w:lineRule="auto"/>
        <w:rPr>
          <w:lang w:eastAsia="ja-JP"/>
        </w:rPr>
      </w:pPr>
      <w:r w:rsidRPr="008B120B">
        <w:rPr>
          <w:lang w:eastAsia="ja-JP"/>
        </w:rPr>
        <w:br w:type="page"/>
      </w:r>
    </w:p>
    <w:p w14:paraId="430051A2" w14:textId="77777777" w:rsidR="005C1237" w:rsidRPr="008B120B" w:rsidRDefault="005C1237" w:rsidP="00916D7C">
      <w:pPr>
        <w:spacing w:after="160"/>
        <w:rPr>
          <w:rStyle w:val="Emphasis"/>
        </w:rPr>
      </w:pPr>
      <w:r w:rsidRPr="008B120B">
        <w:rPr>
          <w:rStyle w:val="Emphasis"/>
        </w:rPr>
        <w:lastRenderedPageBreak/>
        <w:t>About the Submitter</w:t>
      </w:r>
    </w:p>
    <w:p w14:paraId="7E488F56" w14:textId="145E5452" w:rsidR="000C0516" w:rsidRPr="008B120B" w:rsidRDefault="000C0516" w:rsidP="00916D7C">
      <w:pPr>
        <w:spacing w:after="160"/>
        <w:rPr>
          <w:sz w:val="22"/>
          <w:szCs w:val="22"/>
          <w:lang w:eastAsia="en-AU"/>
        </w:rPr>
      </w:pPr>
      <w:r w:rsidRPr="008B120B">
        <w:rPr>
          <w:lang w:eastAsia="en-AU"/>
        </w:rPr>
        <w:t>JFA Purple O</w:t>
      </w:r>
      <w:r w:rsidR="00A14082" w:rsidRPr="008B120B">
        <w:rPr>
          <w:lang w:eastAsia="en-AU"/>
        </w:rPr>
        <w:t>range is an independent social-</w:t>
      </w:r>
      <w:r w:rsidRPr="008B120B">
        <w:rPr>
          <w:lang w:eastAsia="en-AU"/>
        </w:rPr>
        <w:t>profit organisation that undertakes systemic policy analysis and advocacy across a range of issues affecting people living with disability and their families.</w:t>
      </w:r>
    </w:p>
    <w:p w14:paraId="36F60BD0" w14:textId="6F585265" w:rsidR="000C0516" w:rsidRPr="008B120B" w:rsidRDefault="000C0516" w:rsidP="00916D7C">
      <w:pPr>
        <w:spacing w:after="160"/>
        <w:rPr>
          <w:lang w:eastAsia="en-AU"/>
        </w:rPr>
      </w:pPr>
      <w:r w:rsidRPr="008B120B">
        <w:rPr>
          <w:lang w:eastAsia="en-AU"/>
        </w:rPr>
        <w:t xml:space="preserve">Our work is characterised by co-design and </w:t>
      </w:r>
      <w:r w:rsidR="004C1409" w:rsidRPr="008B120B">
        <w:rPr>
          <w:lang w:eastAsia="en-AU"/>
        </w:rPr>
        <w:t>co-production and</w:t>
      </w:r>
      <w:r w:rsidRPr="008B120B">
        <w:rPr>
          <w:lang w:eastAsia="en-AU"/>
        </w:rPr>
        <w:t xml:space="preserve"> includes hosting </w:t>
      </w:r>
      <w:proofErr w:type="gramStart"/>
      <w:r w:rsidRPr="008B120B">
        <w:rPr>
          <w:lang w:eastAsia="en-AU"/>
        </w:rPr>
        <w:t>a number of</w:t>
      </w:r>
      <w:proofErr w:type="gramEnd"/>
      <w:r w:rsidRPr="008B120B">
        <w:rPr>
          <w:lang w:eastAsia="en-AU"/>
        </w:rPr>
        <w:t xml:space="preserve"> user-led initiatives.</w:t>
      </w:r>
    </w:p>
    <w:p w14:paraId="05CF4D77" w14:textId="2DCB7C4C" w:rsidR="000C0516" w:rsidRPr="008B120B" w:rsidRDefault="000C0516" w:rsidP="00916D7C">
      <w:pPr>
        <w:spacing w:after="160"/>
        <w:rPr>
          <w:lang w:eastAsia="en-AU"/>
        </w:rPr>
      </w:pPr>
      <w:r w:rsidRPr="008B120B">
        <w:rPr>
          <w:lang w:eastAsia="en-AU"/>
        </w:rPr>
        <w:t>Much of our work involves connecting people living with disability to good information and to each other. We also work extensively in multi-stakeholder consultation and collaboration, especially a</w:t>
      </w:r>
      <w:r w:rsidR="004C1409">
        <w:rPr>
          <w:lang w:eastAsia="en-AU"/>
        </w:rPr>
        <w:t>bout</w:t>
      </w:r>
      <w:r w:rsidRPr="008B120B">
        <w:rPr>
          <w:lang w:eastAsia="en-AU"/>
        </w:rPr>
        <w:t xml:space="preserve"> policy and practice that helps ensure people living with disability are welcomed as valued members of the mainstream community.</w:t>
      </w:r>
    </w:p>
    <w:p w14:paraId="0A094594" w14:textId="77777777" w:rsidR="000C0516" w:rsidRPr="008B120B" w:rsidRDefault="000C0516" w:rsidP="00916D7C">
      <w:pPr>
        <w:spacing w:after="160"/>
        <w:rPr>
          <w:lang w:eastAsia="en-AU"/>
        </w:rPr>
      </w:pPr>
      <w:r w:rsidRPr="008B120B">
        <w:rPr>
          <w:lang w:eastAsia="en-AU"/>
        </w:rPr>
        <w:t xml:space="preserve">Our work is informed by a model called </w:t>
      </w:r>
      <w:r w:rsidRPr="008B120B">
        <w:rPr>
          <w:i/>
          <w:iCs/>
          <w:lang w:eastAsia="en-AU"/>
        </w:rPr>
        <w:t>Citizenhood</w:t>
      </w:r>
      <w:r w:rsidRPr="008B120B">
        <w:rPr>
          <w:lang w:eastAsia="en-AU"/>
        </w:rPr>
        <w:t>.</w:t>
      </w:r>
    </w:p>
    <w:p w14:paraId="59A1F7B6" w14:textId="77777777" w:rsidR="00031484" w:rsidRPr="008B120B" w:rsidRDefault="00031484" w:rsidP="00916D7C">
      <w:pPr>
        <w:rPr>
          <w:lang w:eastAsia="ja-JP"/>
        </w:rPr>
      </w:pPr>
      <w:r w:rsidRPr="008B120B">
        <w:rPr>
          <w:lang w:eastAsia="ja-JP"/>
        </w:rPr>
        <w:t>JFA Purple Orange</w:t>
      </w:r>
    </w:p>
    <w:p w14:paraId="35A8D94F" w14:textId="77777777" w:rsidR="00031484" w:rsidRPr="008B120B" w:rsidRDefault="00031484" w:rsidP="00916D7C">
      <w:pPr>
        <w:rPr>
          <w:lang w:eastAsia="ja-JP"/>
        </w:rPr>
      </w:pPr>
      <w:r w:rsidRPr="008B120B">
        <w:rPr>
          <w:lang w:eastAsia="ja-JP"/>
        </w:rPr>
        <w:t>104 Greenhill Road</w:t>
      </w:r>
    </w:p>
    <w:p w14:paraId="29A57D86" w14:textId="77777777" w:rsidR="00031484" w:rsidRPr="008B120B" w:rsidRDefault="00031484" w:rsidP="00916D7C">
      <w:pPr>
        <w:spacing w:after="160"/>
        <w:rPr>
          <w:lang w:eastAsia="ja-JP"/>
        </w:rPr>
      </w:pPr>
      <w:r w:rsidRPr="008B120B">
        <w:rPr>
          <w:lang w:eastAsia="ja-JP"/>
        </w:rPr>
        <w:t>Unley SA 5061 AUSTRALIA</w:t>
      </w:r>
    </w:p>
    <w:p w14:paraId="78E905EC" w14:textId="77777777" w:rsidR="00031484" w:rsidRPr="008B120B" w:rsidRDefault="00031484" w:rsidP="00916D7C">
      <w:pPr>
        <w:rPr>
          <w:lang w:eastAsia="ja-JP"/>
        </w:rPr>
      </w:pPr>
      <w:r w:rsidRPr="008B120B">
        <w:rPr>
          <w:lang w:eastAsia="ja-JP"/>
        </w:rPr>
        <w:t>Telephone: + 61 (8) 8373 8333</w:t>
      </w:r>
    </w:p>
    <w:p w14:paraId="1E95219A" w14:textId="77777777" w:rsidR="00031484" w:rsidRPr="008B120B" w:rsidRDefault="00031484" w:rsidP="00916D7C">
      <w:pPr>
        <w:rPr>
          <w:lang w:eastAsia="ja-JP"/>
        </w:rPr>
      </w:pPr>
      <w:r w:rsidRPr="008B120B">
        <w:rPr>
          <w:lang w:eastAsia="ja-JP"/>
        </w:rPr>
        <w:t>Fax: + 61 (8) 8373 8373</w:t>
      </w:r>
    </w:p>
    <w:p w14:paraId="5A36D5F4" w14:textId="77777777" w:rsidR="00031484" w:rsidRPr="008B120B" w:rsidRDefault="00031484" w:rsidP="00916D7C">
      <w:pPr>
        <w:rPr>
          <w:lang w:eastAsia="ja-JP"/>
        </w:rPr>
      </w:pPr>
      <w:r w:rsidRPr="008B120B">
        <w:rPr>
          <w:lang w:eastAsia="ja-JP"/>
        </w:rPr>
        <w:t xml:space="preserve">Email: admin@purpleorange.org.au </w:t>
      </w:r>
    </w:p>
    <w:p w14:paraId="04BAD6A6" w14:textId="77777777" w:rsidR="00031484" w:rsidRPr="008B120B" w:rsidRDefault="00031484" w:rsidP="00916D7C">
      <w:pPr>
        <w:rPr>
          <w:lang w:eastAsia="ja-JP"/>
        </w:rPr>
      </w:pPr>
      <w:r w:rsidRPr="008B120B">
        <w:rPr>
          <w:lang w:eastAsia="ja-JP"/>
        </w:rPr>
        <w:t>Website: www.purpleorange.org.au</w:t>
      </w:r>
    </w:p>
    <w:p w14:paraId="0EC94C17" w14:textId="51C95292" w:rsidR="00031484" w:rsidRPr="008B120B" w:rsidRDefault="00031484" w:rsidP="00916D7C">
      <w:pPr>
        <w:spacing w:after="160"/>
        <w:rPr>
          <w:lang w:eastAsia="ja-JP"/>
        </w:rPr>
      </w:pPr>
      <w:r w:rsidRPr="008B120B">
        <w:rPr>
          <w:lang w:eastAsia="ja-JP"/>
        </w:rPr>
        <w:t xml:space="preserve">Facebook: www.facebook.com/jfapurpleorange </w:t>
      </w:r>
    </w:p>
    <w:p w14:paraId="5B78C128" w14:textId="77777777" w:rsidR="00031484" w:rsidRPr="008B120B" w:rsidRDefault="00031484" w:rsidP="00916D7C">
      <w:pPr>
        <w:spacing w:after="160"/>
        <w:rPr>
          <w:rStyle w:val="Emphasis"/>
        </w:rPr>
      </w:pPr>
      <w:r w:rsidRPr="008B120B">
        <w:rPr>
          <w:rStyle w:val="Emphasis"/>
        </w:rPr>
        <w:t>Contributors</w:t>
      </w:r>
    </w:p>
    <w:p w14:paraId="764419B4" w14:textId="77777777" w:rsidR="00B0438A" w:rsidRDefault="00B0438A" w:rsidP="00291FD9">
      <w:pPr>
        <w:rPr>
          <w:lang w:eastAsia="ja-JP"/>
        </w:rPr>
      </w:pPr>
      <w:r>
        <w:rPr>
          <w:lang w:eastAsia="ja-JP"/>
        </w:rPr>
        <w:t xml:space="preserve">James Murphy, Policy and Research Leader </w:t>
      </w:r>
    </w:p>
    <w:p w14:paraId="24D16A92" w14:textId="0AF5861E" w:rsidR="00D66E32" w:rsidRDefault="00D66E32" w:rsidP="00291FD9">
      <w:pPr>
        <w:rPr>
          <w:color w:val="000000" w:themeColor="text1"/>
          <w:lang w:eastAsia="ja-JP"/>
        </w:rPr>
      </w:pPr>
      <w:r>
        <w:rPr>
          <w:color w:val="000000" w:themeColor="text1"/>
          <w:lang w:eastAsia="ja-JP"/>
        </w:rPr>
        <w:t>Cathy Cochrane, Senior Policy Leader</w:t>
      </w:r>
    </w:p>
    <w:p w14:paraId="35304519" w14:textId="61D8D394" w:rsidR="00501815" w:rsidRDefault="007C4EA2" w:rsidP="00291FD9">
      <w:pPr>
        <w:rPr>
          <w:color w:val="000000" w:themeColor="text1"/>
          <w:lang w:eastAsia="ja-JP"/>
        </w:rPr>
      </w:pPr>
      <w:r>
        <w:rPr>
          <w:color w:val="000000" w:themeColor="text1"/>
          <w:lang w:eastAsia="ja-JP"/>
        </w:rPr>
        <w:t>Rebecca Dowd</w:t>
      </w:r>
      <w:r w:rsidR="00D66E32">
        <w:rPr>
          <w:color w:val="000000" w:themeColor="text1"/>
          <w:lang w:eastAsia="ja-JP"/>
        </w:rPr>
        <w:t>, Manager – Policy and Projects</w:t>
      </w:r>
    </w:p>
    <w:p w14:paraId="606FFD97" w14:textId="05C322AC" w:rsidR="00916D7C" w:rsidRDefault="00916D7C" w:rsidP="00916D7C">
      <w:pPr>
        <w:spacing w:after="160"/>
        <w:rPr>
          <w:color w:val="000000" w:themeColor="text1"/>
          <w:lang w:eastAsia="ja-JP"/>
        </w:rPr>
      </w:pPr>
      <w:r>
        <w:rPr>
          <w:color w:val="000000" w:themeColor="text1"/>
          <w:lang w:eastAsia="ja-JP"/>
        </w:rPr>
        <w:t>Robbi Williams, CEO</w:t>
      </w:r>
    </w:p>
    <w:p w14:paraId="0B7D76FF" w14:textId="77777777" w:rsidR="00291FD9" w:rsidRDefault="00291FD9" w:rsidP="00916D7C">
      <w:pPr>
        <w:spacing w:after="160"/>
        <w:rPr>
          <w:color w:val="000000" w:themeColor="text1"/>
          <w:lang w:eastAsia="ja-JP"/>
        </w:rPr>
      </w:pPr>
    </w:p>
    <w:p w14:paraId="3D166DD9" w14:textId="77777777" w:rsidR="007F23C3" w:rsidRPr="00916D7C" w:rsidRDefault="007F23C3" w:rsidP="00916D7C">
      <w:pPr>
        <w:spacing w:after="160"/>
        <w:rPr>
          <w:color w:val="000000" w:themeColor="text1"/>
          <w:lang w:eastAsia="ja-JP"/>
        </w:rPr>
      </w:pPr>
    </w:p>
    <w:p w14:paraId="6CCAB9B3" w14:textId="164876DD" w:rsidR="005C1237" w:rsidRPr="008B120B" w:rsidRDefault="00C93446" w:rsidP="00916D7C">
      <w:pPr>
        <w:spacing w:after="160"/>
        <w:rPr>
          <w:rFonts w:ascii="Calibri" w:eastAsia="ヒラギノ角ゴ Pro W3" w:hAnsi="Calibri" w:cs="Calibri"/>
          <w:b/>
          <w:color w:val="522E91"/>
          <w:sz w:val="28"/>
          <w:szCs w:val="28"/>
          <w:lang w:eastAsia="en-AU"/>
        </w:rPr>
      </w:pPr>
      <w:r w:rsidRPr="008B120B">
        <w:rPr>
          <w:lang w:eastAsia="ja-JP"/>
        </w:rPr>
        <w:t>©</w:t>
      </w:r>
      <w:r w:rsidR="00031484" w:rsidRPr="008B120B">
        <w:rPr>
          <w:lang w:eastAsia="ja-JP"/>
        </w:rPr>
        <w:t xml:space="preserve"> </w:t>
      </w:r>
      <w:r w:rsidR="00094725">
        <w:rPr>
          <w:lang w:eastAsia="ja-JP"/>
        </w:rPr>
        <w:t>202</w:t>
      </w:r>
      <w:r w:rsidR="003D1672">
        <w:rPr>
          <w:lang w:eastAsia="ja-JP"/>
        </w:rPr>
        <w:t>4</w:t>
      </w:r>
      <w:r w:rsidR="00031484" w:rsidRPr="008B120B">
        <w:rPr>
          <w:lang w:eastAsia="ja-JP"/>
        </w:rPr>
        <w:t xml:space="preserve"> Julia Farr Association Inc.</w:t>
      </w:r>
      <w:r w:rsidR="005C1237" w:rsidRPr="008B120B">
        <w:rPr>
          <w:rFonts w:ascii="Calibri" w:hAnsi="Calibri" w:cs="Calibri"/>
          <w:b/>
          <w:color w:val="522E91"/>
          <w:sz w:val="28"/>
          <w:szCs w:val="28"/>
        </w:rPr>
        <w:br w:type="page"/>
      </w:r>
    </w:p>
    <w:bookmarkStart w:id="0" w:name="_Toc392691379" w:displacedByCustomXml="next"/>
    <w:sdt>
      <w:sdtPr>
        <w:rPr>
          <w:rFonts w:asciiTheme="minorHAnsi" w:eastAsiaTheme="minorEastAsia" w:hAnsiTheme="minorHAnsi" w:cstheme="minorBidi"/>
          <w:b w:val="0"/>
          <w:bCs w:val="0"/>
          <w:color w:val="auto"/>
          <w:sz w:val="22"/>
          <w:szCs w:val="22"/>
          <w:lang w:val="en-AU" w:eastAsia="en-US"/>
        </w:rPr>
        <w:id w:val="1229107971"/>
        <w:docPartObj>
          <w:docPartGallery w:val="Table of Contents"/>
          <w:docPartUnique/>
        </w:docPartObj>
      </w:sdtPr>
      <w:sdtEndPr>
        <w:rPr>
          <w:sz w:val="24"/>
          <w:szCs w:val="24"/>
        </w:rPr>
      </w:sdtEndPr>
      <w:sdtContent>
        <w:p w14:paraId="3842EC95" w14:textId="77777777" w:rsidR="00887EE3" w:rsidRPr="008B120B" w:rsidRDefault="00887EE3" w:rsidP="00916D7C">
          <w:pPr>
            <w:pStyle w:val="TOCHeading"/>
            <w:spacing w:after="160" w:line="360" w:lineRule="auto"/>
            <w:rPr>
              <w:lang w:val="en-AU"/>
            </w:rPr>
          </w:pPr>
          <w:r w:rsidRPr="008B120B">
            <w:rPr>
              <w:rFonts w:asciiTheme="minorHAnsi" w:hAnsiTheme="minorHAnsi"/>
              <w:color w:val="7030A0"/>
              <w:sz w:val="36"/>
              <w:lang w:val="en-AU"/>
            </w:rPr>
            <w:t>Contents</w:t>
          </w:r>
        </w:p>
        <w:p w14:paraId="15E69037" w14:textId="0B4F5621" w:rsidR="006A442B" w:rsidRDefault="00244C2B">
          <w:pPr>
            <w:pStyle w:val="TOC1"/>
            <w:tabs>
              <w:tab w:val="left" w:pos="440"/>
              <w:tab w:val="right" w:leader="dot" w:pos="9016"/>
            </w:tabs>
            <w:rPr>
              <w:rFonts w:eastAsiaTheme="minorEastAsia"/>
              <w:noProof/>
              <w:kern w:val="2"/>
              <w:lang w:eastAsia="en-AU"/>
              <w14:ligatures w14:val="standardContextual"/>
            </w:rPr>
          </w:pPr>
          <w:r w:rsidRPr="008B120B">
            <w:fldChar w:fldCharType="begin"/>
          </w:r>
          <w:r w:rsidR="00887EE3" w:rsidRPr="008B120B">
            <w:instrText xml:space="preserve"> TOC \o "1-3" \h \z \u </w:instrText>
          </w:r>
          <w:r w:rsidRPr="008B120B">
            <w:fldChar w:fldCharType="separate"/>
          </w:r>
          <w:hyperlink w:anchor="_Toc184414864" w:history="1">
            <w:r w:rsidR="006A442B" w:rsidRPr="00A5334E">
              <w:rPr>
                <w:rStyle w:val="Hyperlink"/>
                <w:noProof/>
              </w:rPr>
              <w:t>1.</w:t>
            </w:r>
            <w:r w:rsidR="006A442B">
              <w:rPr>
                <w:rFonts w:eastAsiaTheme="minorEastAsia"/>
                <w:noProof/>
                <w:kern w:val="2"/>
                <w:lang w:eastAsia="en-AU"/>
                <w14:ligatures w14:val="standardContextual"/>
              </w:rPr>
              <w:tab/>
            </w:r>
            <w:r w:rsidR="006A442B" w:rsidRPr="00A5334E">
              <w:rPr>
                <w:rStyle w:val="Hyperlink"/>
                <w:noProof/>
              </w:rPr>
              <w:t>Summary and recommendations</w:t>
            </w:r>
            <w:r w:rsidR="006A442B">
              <w:rPr>
                <w:noProof/>
                <w:webHidden/>
              </w:rPr>
              <w:tab/>
            </w:r>
            <w:r w:rsidR="006A442B">
              <w:rPr>
                <w:noProof/>
                <w:webHidden/>
              </w:rPr>
              <w:fldChar w:fldCharType="begin"/>
            </w:r>
            <w:r w:rsidR="006A442B">
              <w:rPr>
                <w:noProof/>
                <w:webHidden/>
              </w:rPr>
              <w:instrText xml:space="preserve"> PAGEREF _Toc184414864 \h </w:instrText>
            </w:r>
            <w:r w:rsidR="006A442B">
              <w:rPr>
                <w:noProof/>
                <w:webHidden/>
              </w:rPr>
            </w:r>
            <w:r w:rsidR="006A442B">
              <w:rPr>
                <w:noProof/>
                <w:webHidden/>
              </w:rPr>
              <w:fldChar w:fldCharType="separate"/>
            </w:r>
            <w:r w:rsidR="00ED7D1C">
              <w:rPr>
                <w:noProof/>
                <w:webHidden/>
              </w:rPr>
              <w:t>5</w:t>
            </w:r>
            <w:r w:rsidR="006A442B">
              <w:rPr>
                <w:noProof/>
                <w:webHidden/>
              </w:rPr>
              <w:fldChar w:fldCharType="end"/>
            </w:r>
          </w:hyperlink>
        </w:p>
        <w:p w14:paraId="49374C65" w14:textId="173EE97A" w:rsidR="006A442B" w:rsidRDefault="006A442B">
          <w:pPr>
            <w:pStyle w:val="TOC1"/>
            <w:tabs>
              <w:tab w:val="left" w:pos="440"/>
              <w:tab w:val="right" w:leader="dot" w:pos="9016"/>
            </w:tabs>
            <w:rPr>
              <w:rFonts w:eastAsiaTheme="minorEastAsia"/>
              <w:noProof/>
              <w:kern w:val="2"/>
              <w:lang w:eastAsia="en-AU"/>
              <w14:ligatures w14:val="standardContextual"/>
            </w:rPr>
          </w:pPr>
          <w:hyperlink w:anchor="_Toc184414865" w:history="1">
            <w:r w:rsidRPr="00A5334E">
              <w:rPr>
                <w:rStyle w:val="Hyperlink"/>
                <w:noProof/>
              </w:rPr>
              <w:t>2.</w:t>
            </w:r>
            <w:r>
              <w:rPr>
                <w:rFonts w:eastAsiaTheme="minorEastAsia"/>
                <w:noProof/>
                <w:kern w:val="2"/>
                <w:lang w:eastAsia="en-AU"/>
                <w14:ligatures w14:val="standardContextual"/>
              </w:rPr>
              <w:tab/>
            </w:r>
            <w:r w:rsidRPr="00A5334E">
              <w:rPr>
                <w:rStyle w:val="Hyperlink"/>
                <w:noProof/>
              </w:rPr>
              <w:t>Introduction</w:t>
            </w:r>
            <w:r>
              <w:rPr>
                <w:noProof/>
                <w:webHidden/>
              </w:rPr>
              <w:tab/>
            </w:r>
            <w:r>
              <w:rPr>
                <w:noProof/>
                <w:webHidden/>
              </w:rPr>
              <w:fldChar w:fldCharType="begin"/>
            </w:r>
            <w:r>
              <w:rPr>
                <w:noProof/>
                <w:webHidden/>
              </w:rPr>
              <w:instrText xml:space="preserve"> PAGEREF _Toc184414865 \h </w:instrText>
            </w:r>
            <w:r>
              <w:rPr>
                <w:noProof/>
                <w:webHidden/>
              </w:rPr>
            </w:r>
            <w:r>
              <w:rPr>
                <w:noProof/>
                <w:webHidden/>
              </w:rPr>
              <w:fldChar w:fldCharType="separate"/>
            </w:r>
            <w:r w:rsidR="00ED7D1C">
              <w:rPr>
                <w:noProof/>
                <w:webHidden/>
              </w:rPr>
              <w:t>11</w:t>
            </w:r>
            <w:r>
              <w:rPr>
                <w:noProof/>
                <w:webHidden/>
              </w:rPr>
              <w:fldChar w:fldCharType="end"/>
            </w:r>
          </w:hyperlink>
        </w:p>
        <w:p w14:paraId="697AA44B" w14:textId="1A7CC83D"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66" w:history="1">
            <w:r w:rsidRPr="00A5334E">
              <w:rPr>
                <w:rStyle w:val="Hyperlink"/>
                <w:noProof/>
              </w:rPr>
              <w:t>2.1.</w:t>
            </w:r>
            <w:r>
              <w:rPr>
                <w:rFonts w:eastAsiaTheme="minorEastAsia"/>
                <w:noProof/>
                <w:kern w:val="2"/>
                <w:lang w:eastAsia="en-AU"/>
                <w14:ligatures w14:val="standardContextual"/>
              </w:rPr>
              <w:tab/>
            </w:r>
            <w:r w:rsidRPr="00A5334E">
              <w:rPr>
                <w:rStyle w:val="Hyperlink"/>
                <w:noProof/>
              </w:rPr>
              <w:t>Model of Citizenhood Support</w:t>
            </w:r>
            <w:r>
              <w:rPr>
                <w:noProof/>
                <w:webHidden/>
              </w:rPr>
              <w:tab/>
            </w:r>
            <w:r>
              <w:rPr>
                <w:noProof/>
                <w:webHidden/>
              </w:rPr>
              <w:fldChar w:fldCharType="begin"/>
            </w:r>
            <w:r>
              <w:rPr>
                <w:noProof/>
                <w:webHidden/>
              </w:rPr>
              <w:instrText xml:space="preserve"> PAGEREF _Toc184414866 \h </w:instrText>
            </w:r>
            <w:r>
              <w:rPr>
                <w:noProof/>
                <w:webHidden/>
              </w:rPr>
            </w:r>
            <w:r>
              <w:rPr>
                <w:noProof/>
                <w:webHidden/>
              </w:rPr>
              <w:fldChar w:fldCharType="separate"/>
            </w:r>
            <w:r w:rsidR="00ED7D1C">
              <w:rPr>
                <w:noProof/>
                <w:webHidden/>
              </w:rPr>
              <w:t>13</w:t>
            </w:r>
            <w:r>
              <w:rPr>
                <w:noProof/>
                <w:webHidden/>
              </w:rPr>
              <w:fldChar w:fldCharType="end"/>
            </w:r>
          </w:hyperlink>
        </w:p>
        <w:p w14:paraId="20FDB6C7" w14:textId="543D7AC6"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67" w:history="1">
            <w:r w:rsidRPr="00A5334E">
              <w:rPr>
                <w:rStyle w:val="Hyperlink"/>
                <w:noProof/>
              </w:rPr>
              <w:t>2.1.1.</w:t>
            </w:r>
            <w:r>
              <w:rPr>
                <w:rFonts w:eastAsiaTheme="minorEastAsia"/>
                <w:noProof/>
                <w:kern w:val="2"/>
                <w:lang w:eastAsia="en-AU"/>
                <w14:ligatures w14:val="standardContextual"/>
              </w:rPr>
              <w:tab/>
            </w:r>
            <w:r w:rsidRPr="00A5334E">
              <w:rPr>
                <w:rStyle w:val="Hyperlink"/>
                <w:noProof/>
              </w:rPr>
              <w:t>Personal Capital</w:t>
            </w:r>
            <w:r>
              <w:rPr>
                <w:noProof/>
                <w:webHidden/>
              </w:rPr>
              <w:tab/>
            </w:r>
            <w:r>
              <w:rPr>
                <w:noProof/>
                <w:webHidden/>
              </w:rPr>
              <w:fldChar w:fldCharType="begin"/>
            </w:r>
            <w:r>
              <w:rPr>
                <w:noProof/>
                <w:webHidden/>
              </w:rPr>
              <w:instrText xml:space="preserve"> PAGEREF _Toc184414867 \h </w:instrText>
            </w:r>
            <w:r>
              <w:rPr>
                <w:noProof/>
                <w:webHidden/>
              </w:rPr>
            </w:r>
            <w:r>
              <w:rPr>
                <w:noProof/>
                <w:webHidden/>
              </w:rPr>
              <w:fldChar w:fldCharType="separate"/>
            </w:r>
            <w:r w:rsidR="00ED7D1C">
              <w:rPr>
                <w:noProof/>
                <w:webHidden/>
              </w:rPr>
              <w:t>14</w:t>
            </w:r>
            <w:r>
              <w:rPr>
                <w:noProof/>
                <w:webHidden/>
              </w:rPr>
              <w:fldChar w:fldCharType="end"/>
            </w:r>
          </w:hyperlink>
        </w:p>
        <w:p w14:paraId="4059A87D" w14:textId="57274CEF"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68" w:history="1">
            <w:r w:rsidRPr="00A5334E">
              <w:rPr>
                <w:rStyle w:val="Hyperlink"/>
                <w:noProof/>
              </w:rPr>
              <w:t>2.1.2.</w:t>
            </w:r>
            <w:r>
              <w:rPr>
                <w:rFonts w:eastAsiaTheme="minorEastAsia"/>
                <w:noProof/>
                <w:kern w:val="2"/>
                <w:lang w:eastAsia="en-AU"/>
                <w14:ligatures w14:val="standardContextual"/>
              </w:rPr>
              <w:tab/>
            </w:r>
            <w:r w:rsidRPr="00A5334E">
              <w:rPr>
                <w:rStyle w:val="Hyperlink"/>
                <w:noProof/>
              </w:rPr>
              <w:t>Knowledge Capital</w:t>
            </w:r>
            <w:r>
              <w:rPr>
                <w:noProof/>
                <w:webHidden/>
              </w:rPr>
              <w:tab/>
            </w:r>
            <w:r>
              <w:rPr>
                <w:noProof/>
                <w:webHidden/>
              </w:rPr>
              <w:fldChar w:fldCharType="begin"/>
            </w:r>
            <w:r>
              <w:rPr>
                <w:noProof/>
                <w:webHidden/>
              </w:rPr>
              <w:instrText xml:space="preserve"> PAGEREF _Toc184414868 \h </w:instrText>
            </w:r>
            <w:r>
              <w:rPr>
                <w:noProof/>
                <w:webHidden/>
              </w:rPr>
            </w:r>
            <w:r>
              <w:rPr>
                <w:noProof/>
                <w:webHidden/>
              </w:rPr>
              <w:fldChar w:fldCharType="separate"/>
            </w:r>
            <w:r w:rsidR="00ED7D1C">
              <w:rPr>
                <w:noProof/>
                <w:webHidden/>
              </w:rPr>
              <w:t>14</w:t>
            </w:r>
            <w:r>
              <w:rPr>
                <w:noProof/>
                <w:webHidden/>
              </w:rPr>
              <w:fldChar w:fldCharType="end"/>
            </w:r>
          </w:hyperlink>
        </w:p>
        <w:p w14:paraId="4AA1A617" w14:textId="5D6232C2"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69" w:history="1">
            <w:r w:rsidRPr="00A5334E">
              <w:rPr>
                <w:rStyle w:val="Hyperlink"/>
                <w:noProof/>
              </w:rPr>
              <w:t>2.1.3.</w:t>
            </w:r>
            <w:r>
              <w:rPr>
                <w:rFonts w:eastAsiaTheme="minorEastAsia"/>
                <w:noProof/>
                <w:kern w:val="2"/>
                <w:lang w:eastAsia="en-AU"/>
                <w14:ligatures w14:val="standardContextual"/>
              </w:rPr>
              <w:tab/>
            </w:r>
            <w:r w:rsidRPr="00A5334E">
              <w:rPr>
                <w:rStyle w:val="Hyperlink"/>
                <w:noProof/>
              </w:rPr>
              <w:t>Material Capital</w:t>
            </w:r>
            <w:r>
              <w:rPr>
                <w:noProof/>
                <w:webHidden/>
              </w:rPr>
              <w:tab/>
            </w:r>
            <w:r>
              <w:rPr>
                <w:noProof/>
                <w:webHidden/>
              </w:rPr>
              <w:fldChar w:fldCharType="begin"/>
            </w:r>
            <w:r>
              <w:rPr>
                <w:noProof/>
                <w:webHidden/>
              </w:rPr>
              <w:instrText xml:space="preserve"> PAGEREF _Toc184414869 \h </w:instrText>
            </w:r>
            <w:r>
              <w:rPr>
                <w:noProof/>
                <w:webHidden/>
              </w:rPr>
            </w:r>
            <w:r>
              <w:rPr>
                <w:noProof/>
                <w:webHidden/>
              </w:rPr>
              <w:fldChar w:fldCharType="separate"/>
            </w:r>
            <w:r w:rsidR="00ED7D1C">
              <w:rPr>
                <w:noProof/>
                <w:webHidden/>
              </w:rPr>
              <w:t>15</w:t>
            </w:r>
            <w:r>
              <w:rPr>
                <w:noProof/>
                <w:webHidden/>
              </w:rPr>
              <w:fldChar w:fldCharType="end"/>
            </w:r>
          </w:hyperlink>
        </w:p>
        <w:p w14:paraId="366DA2AA" w14:textId="565E198C"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70" w:history="1">
            <w:r w:rsidRPr="00A5334E">
              <w:rPr>
                <w:rStyle w:val="Hyperlink"/>
                <w:noProof/>
              </w:rPr>
              <w:t>2.1.4.</w:t>
            </w:r>
            <w:r>
              <w:rPr>
                <w:rFonts w:eastAsiaTheme="minorEastAsia"/>
                <w:noProof/>
                <w:kern w:val="2"/>
                <w:lang w:eastAsia="en-AU"/>
                <w14:ligatures w14:val="standardContextual"/>
              </w:rPr>
              <w:tab/>
            </w:r>
            <w:r w:rsidRPr="00A5334E">
              <w:rPr>
                <w:rStyle w:val="Hyperlink"/>
                <w:noProof/>
              </w:rPr>
              <w:t>Social Capital</w:t>
            </w:r>
            <w:r>
              <w:rPr>
                <w:noProof/>
                <w:webHidden/>
              </w:rPr>
              <w:tab/>
            </w:r>
            <w:r>
              <w:rPr>
                <w:noProof/>
                <w:webHidden/>
              </w:rPr>
              <w:fldChar w:fldCharType="begin"/>
            </w:r>
            <w:r>
              <w:rPr>
                <w:noProof/>
                <w:webHidden/>
              </w:rPr>
              <w:instrText xml:space="preserve"> PAGEREF _Toc184414870 \h </w:instrText>
            </w:r>
            <w:r>
              <w:rPr>
                <w:noProof/>
                <w:webHidden/>
              </w:rPr>
            </w:r>
            <w:r>
              <w:rPr>
                <w:noProof/>
                <w:webHidden/>
              </w:rPr>
              <w:fldChar w:fldCharType="separate"/>
            </w:r>
            <w:r w:rsidR="00ED7D1C">
              <w:rPr>
                <w:noProof/>
                <w:webHidden/>
              </w:rPr>
              <w:t>16</w:t>
            </w:r>
            <w:r>
              <w:rPr>
                <w:noProof/>
                <w:webHidden/>
              </w:rPr>
              <w:fldChar w:fldCharType="end"/>
            </w:r>
          </w:hyperlink>
        </w:p>
        <w:p w14:paraId="27061339" w14:textId="6C515D69"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71" w:history="1">
            <w:r w:rsidRPr="00A5334E">
              <w:rPr>
                <w:rStyle w:val="Hyperlink"/>
                <w:noProof/>
              </w:rPr>
              <w:t>2.2.</w:t>
            </w:r>
            <w:r>
              <w:rPr>
                <w:rFonts w:eastAsiaTheme="minorEastAsia"/>
                <w:noProof/>
                <w:kern w:val="2"/>
                <w:lang w:eastAsia="en-AU"/>
                <w14:ligatures w14:val="standardContextual"/>
              </w:rPr>
              <w:tab/>
            </w:r>
            <w:r w:rsidRPr="00A5334E">
              <w:rPr>
                <w:rStyle w:val="Hyperlink"/>
                <w:noProof/>
              </w:rPr>
              <w:t>Embedding Citizenhood in the Foundation Supports Strategy</w:t>
            </w:r>
            <w:r>
              <w:rPr>
                <w:noProof/>
                <w:webHidden/>
              </w:rPr>
              <w:tab/>
            </w:r>
            <w:r>
              <w:rPr>
                <w:noProof/>
                <w:webHidden/>
              </w:rPr>
              <w:fldChar w:fldCharType="begin"/>
            </w:r>
            <w:r>
              <w:rPr>
                <w:noProof/>
                <w:webHidden/>
              </w:rPr>
              <w:instrText xml:space="preserve"> PAGEREF _Toc184414871 \h </w:instrText>
            </w:r>
            <w:r>
              <w:rPr>
                <w:noProof/>
                <w:webHidden/>
              </w:rPr>
            </w:r>
            <w:r>
              <w:rPr>
                <w:noProof/>
                <w:webHidden/>
              </w:rPr>
              <w:fldChar w:fldCharType="separate"/>
            </w:r>
            <w:r w:rsidR="00ED7D1C">
              <w:rPr>
                <w:noProof/>
                <w:webHidden/>
              </w:rPr>
              <w:t>17</w:t>
            </w:r>
            <w:r>
              <w:rPr>
                <w:noProof/>
                <w:webHidden/>
              </w:rPr>
              <w:fldChar w:fldCharType="end"/>
            </w:r>
          </w:hyperlink>
        </w:p>
        <w:p w14:paraId="2F1C45C7" w14:textId="37C1474E" w:rsidR="006A442B" w:rsidRDefault="006A442B">
          <w:pPr>
            <w:pStyle w:val="TOC1"/>
            <w:tabs>
              <w:tab w:val="left" w:pos="440"/>
              <w:tab w:val="right" w:leader="dot" w:pos="9016"/>
            </w:tabs>
            <w:rPr>
              <w:rFonts w:eastAsiaTheme="minorEastAsia"/>
              <w:noProof/>
              <w:kern w:val="2"/>
              <w:lang w:eastAsia="en-AU"/>
              <w14:ligatures w14:val="standardContextual"/>
            </w:rPr>
          </w:pPr>
          <w:hyperlink w:anchor="_Toc184414872" w:history="1">
            <w:r w:rsidRPr="00A5334E">
              <w:rPr>
                <w:rStyle w:val="Hyperlink"/>
                <w:noProof/>
              </w:rPr>
              <w:t>3.</w:t>
            </w:r>
            <w:r>
              <w:rPr>
                <w:rFonts w:eastAsiaTheme="minorEastAsia"/>
                <w:noProof/>
                <w:kern w:val="2"/>
                <w:lang w:eastAsia="en-AU"/>
                <w14:ligatures w14:val="standardContextual"/>
              </w:rPr>
              <w:tab/>
            </w:r>
            <w:r w:rsidRPr="00A5334E">
              <w:rPr>
                <w:rStyle w:val="Hyperlink"/>
                <w:noProof/>
              </w:rPr>
              <w:t>Designing Foundational Supports</w:t>
            </w:r>
            <w:r>
              <w:rPr>
                <w:noProof/>
                <w:webHidden/>
              </w:rPr>
              <w:tab/>
            </w:r>
            <w:r>
              <w:rPr>
                <w:noProof/>
                <w:webHidden/>
              </w:rPr>
              <w:fldChar w:fldCharType="begin"/>
            </w:r>
            <w:r>
              <w:rPr>
                <w:noProof/>
                <w:webHidden/>
              </w:rPr>
              <w:instrText xml:space="preserve"> PAGEREF _Toc184414872 \h </w:instrText>
            </w:r>
            <w:r>
              <w:rPr>
                <w:noProof/>
                <w:webHidden/>
              </w:rPr>
            </w:r>
            <w:r>
              <w:rPr>
                <w:noProof/>
                <w:webHidden/>
              </w:rPr>
              <w:fldChar w:fldCharType="separate"/>
            </w:r>
            <w:r w:rsidR="00ED7D1C">
              <w:rPr>
                <w:noProof/>
                <w:webHidden/>
              </w:rPr>
              <w:t>18</w:t>
            </w:r>
            <w:r>
              <w:rPr>
                <w:noProof/>
                <w:webHidden/>
              </w:rPr>
              <w:fldChar w:fldCharType="end"/>
            </w:r>
          </w:hyperlink>
        </w:p>
        <w:p w14:paraId="6AADB57D" w14:textId="089151EE"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73" w:history="1">
            <w:r w:rsidRPr="00A5334E">
              <w:rPr>
                <w:rStyle w:val="Hyperlink"/>
                <w:noProof/>
              </w:rPr>
              <w:t>3.1.</w:t>
            </w:r>
            <w:r>
              <w:rPr>
                <w:rFonts w:eastAsiaTheme="minorEastAsia"/>
                <w:noProof/>
                <w:kern w:val="2"/>
                <w:lang w:eastAsia="en-AU"/>
                <w14:ligatures w14:val="standardContextual"/>
              </w:rPr>
              <w:tab/>
            </w:r>
            <w:r w:rsidRPr="00A5334E">
              <w:rPr>
                <w:rStyle w:val="Hyperlink"/>
                <w:noProof/>
              </w:rPr>
              <w:t>Importance of genuine co-design processes</w:t>
            </w:r>
            <w:r>
              <w:rPr>
                <w:noProof/>
                <w:webHidden/>
              </w:rPr>
              <w:tab/>
            </w:r>
            <w:r>
              <w:rPr>
                <w:noProof/>
                <w:webHidden/>
              </w:rPr>
              <w:fldChar w:fldCharType="begin"/>
            </w:r>
            <w:r>
              <w:rPr>
                <w:noProof/>
                <w:webHidden/>
              </w:rPr>
              <w:instrText xml:space="preserve"> PAGEREF _Toc184414873 \h </w:instrText>
            </w:r>
            <w:r>
              <w:rPr>
                <w:noProof/>
                <w:webHidden/>
              </w:rPr>
            </w:r>
            <w:r>
              <w:rPr>
                <w:noProof/>
                <w:webHidden/>
              </w:rPr>
              <w:fldChar w:fldCharType="separate"/>
            </w:r>
            <w:r w:rsidR="00ED7D1C">
              <w:rPr>
                <w:noProof/>
                <w:webHidden/>
              </w:rPr>
              <w:t>19</w:t>
            </w:r>
            <w:r>
              <w:rPr>
                <w:noProof/>
                <w:webHidden/>
              </w:rPr>
              <w:fldChar w:fldCharType="end"/>
            </w:r>
          </w:hyperlink>
        </w:p>
        <w:p w14:paraId="25186037" w14:textId="19F7DC10"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74" w:history="1">
            <w:r w:rsidRPr="00A5334E">
              <w:rPr>
                <w:rStyle w:val="Hyperlink"/>
                <w:noProof/>
              </w:rPr>
              <w:t>3.2.</w:t>
            </w:r>
            <w:r>
              <w:rPr>
                <w:rFonts w:eastAsiaTheme="minorEastAsia"/>
                <w:noProof/>
                <w:kern w:val="2"/>
                <w:lang w:eastAsia="en-AU"/>
                <w14:ligatures w14:val="standardContextual"/>
              </w:rPr>
              <w:tab/>
            </w:r>
            <w:r w:rsidRPr="00A5334E">
              <w:rPr>
                <w:rStyle w:val="Hyperlink"/>
                <w:noProof/>
              </w:rPr>
              <w:t xml:space="preserve">Delivering </w:t>
            </w:r>
            <w:r w:rsidRPr="00A5334E">
              <w:rPr>
                <w:rStyle w:val="Hyperlink"/>
                <w:i/>
                <w:iCs/>
                <w:noProof/>
              </w:rPr>
              <w:t>Australia’s Disability Strategy 2021-2031</w:t>
            </w:r>
            <w:r w:rsidRPr="00A5334E">
              <w:rPr>
                <w:rStyle w:val="Hyperlink"/>
                <w:noProof/>
              </w:rPr>
              <w:t xml:space="preserve"> is key to success</w:t>
            </w:r>
            <w:r>
              <w:rPr>
                <w:noProof/>
                <w:webHidden/>
              </w:rPr>
              <w:tab/>
            </w:r>
            <w:r>
              <w:rPr>
                <w:noProof/>
                <w:webHidden/>
              </w:rPr>
              <w:fldChar w:fldCharType="begin"/>
            </w:r>
            <w:r>
              <w:rPr>
                <w:noProof/>
                <w:webHidden/>
              </w:rPr>
              <w:instrText xml:space="preserve"> PAGEREF _Toc184414874 \h </w:instrText>
            </w:r>
            <w:r>
              <w:rPr>
                <w:noProof/>
                <w:webHidden/>
              </w:rPr>
            </w:r>
            <w:r>
              <w:rPr>
                <w:noProof/>
                <w:webHidden/>
              </w:rPr>
              <w:fldChar w:fldCharType="separate"/>
            </w:r>
            <w:r w:rsidR="00ED7D1C">
              <w:rPr>
                <w:noProof/>
                <w:webHidden/>
              </w:rPr>
              <w:t>20</w:t>
            </w:r>
            <w:r>
              <w:rPr>
                <w:noProof/>
                <w:webHidden/>
              </w:rPr>
              <w:fldChar w:fldCharType="end"/>
            </w:r>
          </w:hyperlink>
        </w:p>
        <w:p w14:paraId="332FF5B9" w14:textId="33E70752"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75" w:history="1">
            <w:r w:rsidRPr="00A5334E">
              <w:rPr>
                <w:rStyle w:val="Hyperlink"/>
                <w:noProof/>
              </w:rPr>
              <w:t>3.3.</w:t>
            </w:r>
            <w:r>
              <w:rPr>
                <w:rFonts w:eastAsiaTheme="minorEastAsia"/>
                <w:noProof/>
                <w:kern w:val="2"/>
                <w:lang w:eastAsia="en-AU"/>
                <w14:ligatures w14:val="standardContextual"/>
              </w:rPr>
              <w:tab/>
            </w:r>
            <w:r w:rsidRPr="00A5334E">
              <w:rPr>
                <w:rStyle w:val="Hyperlink"/>
                <w:noProof/>
              </w:rPr>
              <w:t>Comprehensive DRC response urgently needed</w:t>
            </w:r>
            <w:r>
              <w:rPr>
                <w:noProof/>
                <w:webHidden/>
              </w:rPr>
              <w:tab/>
            </w:r>
            <w:r>
              <w:rPr>
                <w:noProof/>
                <w:webHidden/>
              </w:rPr>
              <w:fldChar w:fldCharType="begin"/>
            </w:r>
            <w:r>
              <w:rPr>
                <w:noProof/>
                <w:webHidden/>
              </w:rPr>
              <w:instrText xml:space="preserve"> PAGEREF _Toc184414875 \h </w:instrText>
            </w:r>
            <w:r>
              <w:rPr>
                <w:noProof/>
                <w:webHidden/>
              </w:rPr>
            </w:r>
            <w:r>
              <w:rPr>
                <w:noProof/>
                <w:webHidden/>
              </w:rPr>
              <w:fldChar w:fldCharType="separate"/>
            </w:r>
            <w:r w:rsidR="00ED7D1C">
              <w:rPr>
                <w:noProof/>
                <w:webHidden/>
              </w:rPr>
              <w:t>21</w:t>
            </w:r>
            <w:r>
              <w:rPr>
                <w:noProof/>
                <w:webHidden/>
              </w:rPr>
              <w:fldChar w:fldCharType="end"/>
            </w:r>
          </w:hyperlink>
        </w:p>
        <w:p w14:paraId="51F28895" w14:textId="371F52A3"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76" w:history="1">
            <w:r w:rsidRPr="00A5334E">
              <w:rPr>
                <w:rStyle w:val="Hyperlink"/>
                <w:noProof/>
              </w:rPr>
              <w:t>3.4.</w:t>
            </w:r>
            <w:r>
              <w:rPr>
                <w:rFonts w:eastAsiaTheme="minorEastAsia"/>
                <w:noProof/>
                <w:kern w:val="2"/>
                <w:lang w:eastAsia="en-AU"/>
                <w14:ligatures w14:val="standardContextual"/>
              </w:rPr>
              <w:tab/>
            </w:r>
            <w:r w:rsidRPr="00A5334E">
              <w:rPr>
                <w:rStyle w:val="Hyperlink"/>
                <w:noProof/>
              </w:rPr>
              <w:t>Principles to underpin the Foundational Supports Strategy</w:t>
            </w:r>
            <w:r>
              <w:rPr>
                <w:noProof/>
                <w:webHidden/>
              </w:rPr>
              <w:tab/>
            </w:r>
            <w:r>
              <w:rPr>
                <w:noProof/>
                <w:webHidden/>
              </w:rPr>
              <w:fldChar w:fldCharType="begin"/>
            </w:r>
            <w:r>
              <w:rPr>
                <w:noProof/>
                <w:webHidden/>
              </w:rPr>
              <w:instrText xml:space="preserve"> PAGEREF _Toc184414876 \h </w:instrText>
            </w:r>
            <w:r>
              <w:rPr>
                <w:noProof/>
                <w:webHidden/>
              </w:rPr>
            </w:r>
            <w:r>
              <w:rPr>
                <w:noProof/>
                <w:webHidden/>
              </w:rPr>
              <w:fldChar w:fldCharType="separate"/>
            </w:r>
            <w:r w:rsidR="00ED7D1C">
              <w:rPr>
                <w:noProof/>
                <w:webHidden/>
              </w:rPr>
              <w:t>23</w:t>
            </w:r>
            <w:r>
              <w:rPr>
                <w:noProof/>
                <w:webHidden/>
              </w:rPr>
              <w:fldChar w:fldCharType="end"/>
            </w:r>
          </w:hyperlink>
        </w:p>
        <w:p w14:paraId="606E95D1" w14:textId="137C0C53"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77" w:history="1">
            <w:r w:rsidRPr="00A5334E">
              <w:rPr>
                <w:rStyle w:val="Hyperlink"/>
                <w:noProof/>
              </w:rPr>
              <w:t>3.4.1.</w:t>
            </w:r>
            <w:r>
              <w:rPr>
                <w:rFonts w:eastAsiaTheme="minorEastAsia"/>
                <w:noProof/>
                <w:kern w:val="2"/>
                <w:lang w:eastAsia="en-AU"/>
                <w14:ligatures w14:val="standardContextual"/>
              </w:rPr>
              <w:tab/>
            </w:r>
            <w:r w:rsidRPr="00A5334E">
              <w:rPr>
                <w:rStyle w:val="Hyperlink"/>
                <w:noProof/>
              </w:rPr>
              <w:t>Inclusion not segregation</w:t>
            </w:r>
            <w:r>
              <w:rPr>
                <w:noProof/>
                <w:webHidden/>
              </w:rPr>
              <w:tab/>
            </w:r>
            <w:r>
              <w:rPr>
                <w:noProof/>
                <w:webHidden/>
              </w:rPr>
              <w:fldChar w:fldCharType="begin"/>
            </w:r>
            <w:r>
              <w:rPr>
                <w:noProof/>
                <w:webHidden/>
              </w:rPr>
              <w:instrText xml:space="preserve"> PAGEREF _Toc184414877 \h </w:instrText>
            </w:r>
            <w:r>
              <w:rPr>
                <w:noProof/>
                <w:webHidden/>
              </w:rPr>
            </w:r>
            <w:r>
              <w:rPr>
                <w:noProof/>
                <w:webHidden/>
              </w:rPr>
              <w:fldChar w:fldCharType="separate"/>
            </w:r>
            <w:r w:rsidR="00ED7D1C">
              <w:rPr>
                <w:noProof/>
                <w:webHidden/>
              </w:rPr>
              <w:t>23</w:t>
            </w:r>
            <w:r>
              <w:rPr>
                <w:noProof/>
                <w:webHidden/>
              </w:rPr>
              <w:fldChar w:fldCharType="end"/>
            </w:r>
          </w:hyperlink>
        </w:p>
        <w:p w14:paraId="0D765D07" w14:textId="041EB0A3"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78" w:history="1">
            <w:r w:rsidRPr="00A5334E">
              <w:rPr>
                <w:rStyle w:val="Hyperlink"/>
                <w:noProof/>
              </w:rPr>
              <w:t>3.4.1.</w:t>
            </w:r>
            <w:r>
              <w:rPr>
                <w:rFonts w:eastAsiaTheme="minorEastAsia"/>
                <w:noProof/>
                <w:kern w:val="2"/>
                <w:lang w:eastAsia="en-AU"/>
                <w14:ligatures w14:val="standardContextual"/>
              </w:rPr>
              <w:tab/>
            </w:r>
            <w:r w:rsidRPr="00A5334E">
              <w:rPr>
                <w:rStyle w:val="Hyperlink"/>
                <w:noProof/>
              </w:rPr>
              <w:t>Consistent and adequate long-term funding needed</w:t>
            </w:r>
            <w:r>
              <w:rPr>
                <w:noProof/>
                <w:webHidden/>
              </w:rPr>
              <w:tab/>
            </w:r>
            <w:r>
              <w:rPr>
                <w:noProof/>
                <w:webHidden/>
              </w:rPr>
              <w:fldChar w:fldCharType="begin"/>
            </w:r>
            <w:r>
              <w:rPr>
                <w:noProof/>
                <w:webHidden/>
              </w:rPr>
              <w:instrText xml:space="preserve"> PAGEREF _Toc184414878 \h </w:instrText>
            </w:r>
            <w:r>
              <w:rPr>
                <w:noProof/>
                <w:webHidden/>
              </w:rPr>
            </w:r>
            <w:r>
              <w:rPr>
                <w:noProof/>
                <w:webHidden/>
              </w:rPr>
              <w:fldChar w:fldCharType="separate"/>
            </w:r>
            <w:r w:rsidR="00ED7D1C">
              <w:rPr>
                <w:noProof/>
                <w:webHidden/>
              </w:rPr>
              <w:t>26</w:t>
            </w:r>
            <w:r>
              <w:rPr>
                <w:noProof/>
                <w:webHidden/>
              </w:rPr>
              <w:fldChar w:fldCharType="end"/>
            </w:r>
          </w:hyperlink>
        </w:p>
        <w:p w14:paraId="10DB90D1" w14:textId="2FBC78D8"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79" w:history="1">
            <w:r w:rsidRPr="00A5334E">
              <w:rPr>
                <w:rStyle w:val="Hyperlink"/>
                <w:noProof/>
              </w:rPr>
              <w:t>3.4.2.</w:t>
            </w:r>
            <w:r>
              <w:rPr>
                <w:rFonts w:eastAsiaTheme="minorEastAsia"/>
                <w:noProof/>
                <w:kern w:val="2"/>
                <w:lang w:eastAsia="en-AU"/>
                <w14:ligatures w14:val="standardContextual"/>
              </w:rPr>
              <w:tab/>
            </w:r>
            <w:r w:rsidRPr="00A5334E">
              <w:rPr>
                <w:rStyle w:val="Hyperlink"/>
                <w:noProof/>
              </w:rPr>
              <w:t>Accountability for outcomes</w:t>
            </w:r>
            <w:r>
              <w:rPr>
                <w:noProof/>
                <w:webHidden/>
              </w:rPr>
              <w:tab/>
            </w:r>
            <w:r>
              <w:rPr>
                <w:noProof/>
                <w:webHidden/>
              </w:rPr>
              <w:fldChar w:fldCharType="begin"/>
            </w:r>
            <w:r>
              <w:rPr>
                <w:noProof/>
                <w:webHidden/>
              </w:rPr>
              <w:instrText xml:space="preserve"> PAGEREF _Toc184414879 \h </w:instrText>
            </w:r>
            <w:r>
              <w:rPr>
                <w:noProof/>
                <w:webHidden/>
              </w:rPr>
            </w:r>
            <w:r>
              <w:rPr>
                <w:noProof/>
                <w:webHidden/>
              </w:rPr>
              <w:fldChar w:fldCharType="separate"/>
            </w:r>
            <w:r w:rsidR="00ED7D1C">
              <w:rPr>
                <w:noProof/>
                <w:webHidden/>
              </w:rPr>
              <w:t>28</w:t>
            </w:r>
            <w:r>
              <w:rPr>
                <w:noProof/>
                <w:webHidden/>
              </w:rPr>
              <w:fldChar w:fldCharType="end"/>
            </w:r>
          </w:hyperlink>
        </w:p>
        <w:p w14:paraId="524F490A" w14:textId="55127EC8"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80" w:history="1">
            <w:r w:rsidRPr="00A5334E">
              <w:rPr>
                <w:rStyle w:val="Hyperlink"/>
                <w:noProof/>
              </w:rPr>
              <w:t>3.4.1.</w:t>
            </w:r>
            <w:r>
              <w:rPr>
                <w:rFonts w:eastAsiaTheme="minorEastAsia"/>
                <w:noProof/>
                <w:kern w:val="2"/>
                <w:lang w:eastAsia="en-AU"/>
                <w14:ligatures w14:val="standardContextual"/>
              </w:rPr>
              <w:tab/>
            </w:r>
            <w:r w:rsidRPr="00A5334E">
              <w:rPr>
                <w:rStyle w:val="Hyperlink"/>
                <w:noProof/>
              </w:rPr>
              <w:t>Additional principles</w:t>
            </w:r>
            <w:r>
              <w:rPr>
                <w:noProof/>
                <w:webHidden/>
              </w:rPr>
              <w:tab/>
            </w:r>
            <w:r>
              <w:rPr>
                <w:noProof/>
                <w:webHidden/>
              </w:rPr>
              <w:fldChar w:fldCharType="begin"/>
            </w:r>
            <w:r>
              <w:rPr>
                <w:noProof/>
                <w:webHidden/>
              </w:rPr>
              <w:instrText xml:space="preserve"> PAGEREF _Toc184414880 \h </w:instrText>
            </w:r>
            <w:r>
              <w:rPr>
                <w:noProof/>
                <w:webHidden/>
              </w:rPr>
            </w:r>
            <w:r>
              <w:rPr>
                <w:noProof/>
                <w:webHidden/>
              </w:rPr>
              <w:fldChar w:fldCharType="separate"/>
            </w:r>
            <w:r w:rsidR="00ED7D1C">
              <w:rPr>
                <w:noProof/>
                <w:webHidden/>
              </w:rPr>
              <w:t>29</w:t>
            </w:r>
            <w:r>
              <w:rPr>
                <w:noProof/>
                <w:webHidden/>
              </w:rPr>
              <w:fldChar w:fldCharType="end"/>
            </w:r>
          </w:hyperlink>
        </w:p>
        <w:p w14:paraId="46B1D76E" w14:textId="48C9D8CB"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81" w:history="1">
            <w:r w:rsidRPr="00A5334E">
              <w:rPr>
                <w:rStyle w:val="Hyperlink"/>
                <w:noProof/>
              </w:rPr>
              <w:t>3.5.</w:t>
            </w:r>
            <w:r>
              <w:rPr>
                <w:rFonts w:eastAsiaTheme="minorEastAsia"/>
                <w:noProof/>
                <w:kern w:val="2"/>
                <w:lang w:eastAsia="en-AU"/>
                <w14:ligatures w14:val="standardContextual"/>
              </w:rPr>
              <w:tab/>
            </w:r>
            <w:r w:rsidRPr="00A5334E">
              <w:rPr>
                <w:rStyle w:val="Hyperlink"/>
                <w:noProof/>
              </w:rPr>
              <w:t>Workforce development required</w:t>
            </w:r>
            <w:r>
              <w:rPr>
                <w:noProof/>
                <w:webHidden/>
              </w:rPr>
              <w:tab/>
            </w:r>
            <w:r>
              <w:rPr>
                <w:noProof/>
                <w:webHidden/>
              </w:rPr>
              <w:fldChar w:fldCharType="begin"/>
            </w:r>
            <w:r>
              <w:rPr>
                <w:noProof/>
                <w:webHidden/>
              </w:rPr>
              <w:instrText xml:space="preserve"> PAGEREF _Toc184414881 \h </w:instrText>
            </w:r>
            <w:r>
              <w:rPr>
                <w:noProof/>
                <w:webHidden/>
              </w:rPr>
            </w:r>
            <w:r>
              <w:rPr>
                <w:noProof/>
                <w:webHidden/>
              </w:rPr>
              <w:fldChar w:fldCharType="separate"/>
            </w:r>
            <w:r w:rsidR="00ED7D1C">
              <w:rPr>
                <w:noProof/>
                <w:webHidden/>
              </w:rPr>
              <w:t>31</w:t>
            </w:r>
            <w:r>
              <w:rPr>
                <w:noProof/>
                <w:webHidden/>
              </w:rPr>
              <w:fldChar w:fldCharType="end"/>
            </w:r>
          </w:hyperlink>
        </w:p>
        <w:p w14:paraId="2FA265C9" w14:textId="37D58322"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82" w:history="1">
            <w:r w:rsidRPr="00A5334E">
              <w:rPr>
                <w:rStyle w:val="Hyperlink"/>
                <w:noProof/>
              </w:rPr>
              <w:t>3.6.</w:t>
            </w:r>
            <w:r>
              <w:rPr>
                <w:rFonts w:eastAsiaTheme="minorEastAsia"/>
                <w:noProof/>
                <w:kern w:val="2"/>
                <w:lang w:eastAsia="en-AU"/>
                <w14:ligatures w14:val="standardContextual"/>
              </w:rPr>
              <w:tab/>
            </w:r>
            <w:r w:rsidRPr="00A5334E">
              <w:rPr>
                <w:rStyle w:val="Hyperlink"/>
                <w:noProof/>
              </w:rPr>
              <w:t>Importance of Communities of Practice for success</w:t>
            </w:r>
            <w:r>
              <w:rPr>
                <w:noProof/>
                <w:webHidden/>
              </w:rPr>
              <w:tab/>
            </w:r>
            <w:r>
              <w:rPr>
                <w:noProof/>
                <w:webHidden/>
              </w:rPr>
              <w:fldChar w:fldCharType="begin"/>
            </w:r>
            <w:r>
              <w:rPr>
                <w:noProof/>
                <w:webHidden/>
              </w:rPr>
              <w:instrText xml:space="preserve"> PAGEREF _Toc184414882 \h </w:instrText>
            </w:r>
            <w:r>
              <w:rPr>
                <w:noProof/>
                <w:webHidden/>
              </w:rPr>
            </w:r>
            <w:r>
              <w:rPr>
                <w:noProof/>
                <w:webHidden/>
              </w:rPr>
              <w:fldChar w:fldCharType="separate"/>
            </w:r>
            <w:r w:rsidR="00ED7D1C">
              <w:rPr>
                <w:noProof/>
                <w:webHidden/>
              </w:rPr>
              <w:t>33</w:t>
            </w:r>
            <w:r>
              <w:rPr>
                <w:noProof/>
                <w:webHidden/>
              </w:rPr>
              <w:fldChar w:fldCharType="end"/>
            </w:r>
          </w:hyperlink>
        </w:p>
        <w:p w14:paraId="0427AD29" w14:textId="4D8460A2"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83" w:history="1">
            <w:r w:rsidRPr="00A5334E">
              <w:rPr>
                <w:rStyle w:val="Hyperlink"/>
                <w:noProof/>
              </w:rPr>
              <w:t>3.7.</w:t>
            </w:r>
            <w:r>
              <w:rPr>
                <w:rFonts w:eastAsiaTheme="minorEastAsia"/>
                <w:noProof/>
                <w:kern w:val="2"/>
                <w:lang w:eastAsia="en-AU"/>
                <w14:ligatures w14:val="standardContextual"/>
              </w:rPr>
              <w:tab/>
            </w:r>
            <w:r w:rsidRPr="00A5334E">
              <w:rPr>
                <w:rStyle w:val="Hyperlink"/>
                <w:noProof/>
              </w:rPr>
              <w:t>Transitional arrangements for current ILC-funded initiatives</w:t>
            </w:r>
            <w:r>
              <w:rPr>
                <w:noProof/>
                <w:webHidden/>
              </w:rPr>
              <w:tab/>
            </w:r>
            <w:r>
              <w:rPr>
                <w:noProof/>
                <w:webHidden/>
              </w:rPr>
              <w:fldChar w:fldCharType="begin"/>
            </w:r>
            <w:r>
              <w:rPr>
                <w:noProof/>
                <w:webHidden/>
              </w:rPr>
              <w:instrText xml:space="preserve"> PAGEREF _Toc184414883 \h </w:instrText>
            </w:r>
            <w:r>
              <w:rPr>
                <w:noProof/>
                <w:webHidden/>
              </w:rPr>
            </w:r>
            <w:r>
              <w:rPr>
                <w:noProof/>
                <w:webHidden/>
              </w:rPr>
              <w:fldChar w:fldCharType="separate"/>
            </w:r>
            <w:r w:rsidR="00ED7D1C">
              <w:rPr>
                <w:noProof/>
                <w:webHidden/>
              </w:rPr>
              <w:t>34</w:t>
            </w:r>
            <w:r>
              <w:rPr>
                <w:noProof/>
                <w:webHidden/>
              </w:rPr>
              <w:fldChar w:fldCharType="end"/>
            </w:r>
          </w:hyperlink>
        </w:p>
        <w:p w14:paraId="012AA8E8" w14:textId="33FC6369" w:rsidR="006A442B" w:rsidRDefault="006A442B">
          <w:pPr>
            <w:pStyle w:val="TOC1"/>
            <w:tabs>
              <w:tab w:val="left" w:pos="440"/>
              <w:tab w:val="right" w:leader="dot" w:pos="9016"/>
            </w:tabs>
            <w:rPr>
              <w:rFonts w:eastAsiaTheme="minorEastAsia"/>
              <w:noProof/>
              <w:kern w:val="2"/>
              <w:lang w:eastAsia="en-AU"/>
              <w14:ligatures w14:val="standardContextual"/>
            </w:rPr>
          </w:pPr>
          <w:hyperlink w:anchor="_Toc184414884" w:history="1">
            <w:r w:rsidRPr="00A5334E">
              <w:rPr>
                <w:rStyle w:val="Hyperlink"/>
                <w:noProof/>
              </w:rPr>
              <w:t>4.</w:t>
            </w:r>
            <w:r>
              <w:rPr>
                <w:rFonts w:eastAsiaTheme="minorEastAsia"/>
                <w:noProof/>
                <w:kern w:val="2"/>
                <w:lang w:eastAsia="en-AU"/>
                <w14:ligatures w14:val="standardContextual"/>
              </w:rPr>
              <w:tab/>
            </w:r>
            <w:r w:rsidRPr="00A5334E">
              <w:rPr>
                <w:rStyle w:val="Hyperlink"/>
                <w:noProof/>
              </w:rPr>
              <w:t>Peer support</w:t>
            </w:r>
            <w:r>
              <w:rPr>
                <w:noProof/>
                <w:webHidden/>
              </w:rPr>
              <w:tab/>
            </w:r>
            <w:r>
              <w:rPr>
                <w:noProof/>
                <w:webHidden/>
              </w:rPr>
              <w:fldChar w:fldCharType="begin"/>
            </w:r>
            <w:r>
              <w:rPr>
                <w:noProof/>
                <w:webHidden/>
              </w:rPr>
              <w:instrText xml:space="preserve"> PAGEREF _Toc184414884 \h </w:instrText>
            </w:r>
            <w:r>
              <w:rPr>
                <w:noProof/>
                <w:webHidden/>
              </w:rPr>
            </w:r>
            <w:r>
              <w:rPr>
                <w:noProof/>
                <w:webHidden/>
              </w:rPr>
              <w:fldChar w:fldCharType="separate"/>
            </w:r>
            <w:r w:rsidR="00ED7D1C">
              <w:rPr>
                <w:noProof/>
                <w:webHidden/>
              </w:rPr>
              <w:t>37</w:t>
            </w:r>
            <w:r>
              <w:rPr>
                <w:noProof/>
                <w:webHidden/>
              </w:rPr>
              <w:fldChar w:fldCharType="end"/>
            </w:r>
          </w:hyperlink>
        </w:p>
        <w:p w14:paraId="5C9E89CC" w14:textId="356C574C"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85" w:history="1">
            <w:r w:rsidRPr="00A5334E">
              <w:rPr>
                <w:rStyle w:val="Hyperlink"/>
                <w:noProof/>
              </w:rPr>
              <w:t>4.1.</w:t>
            </w:r>
            <w:r>
              <w:rPr>
                <w:rFonts w:eastAsiaTheme="minorEastAsia"/>
                <w:noProof/>
                <w:kern w:val="2"/>
                <w:lang w:eastAsia="en-AU"/>
                <w14:ligatures w14:val="standardContextual"/>
              </w:rPr>
              <w:tab/>
            </w:r>
            <w:r w:rsidRPr="00A5334E">
              <w:rPr>
                <w:rStyle w:val="Hyperlink"/>
                <w:noProof/>
              </w:rPr>
              <w:t>Existing peer supports</w:t>
            </w:r>
            <w:r>
              <w:rPr>
                <w:noProof/>
                <w:webHidden/>
              </w:rPr>
              <w:tab/>
            </w:r>
            <w:r>
              <w:rPr>
                <w:noProof/>
                <w:webHidden/>
              </w:rPr>
              <w:fldChar w:fldCharType="begin"/>
            </w:r>
            <w:r>
              <w:rPr>
                <w:noProof/>
                <w:webHidden/>
              </w:rPr>
              <w:instrText xml:space="preserve"> PAGEREF _Toc184414885 \h </w:instrText>
            </w:r>
            <w:r>
              <w:rPr>
                <w:noProof/>
                <w:webHidden/>
              </w:rPr>
            </w:r>
            <w:r>
              <w:rPr>
                <w:noProof/>
                <w:webHidden/>
              </w:rPr>
              <w:fldChar w:fldCharType="separate"/>
            </w:r>
            <w:r w:rsidR="00ED7D1C">
              <w:rPr>
                <w:noProof/>
                <w:webHidden/>
              </w:rPr>
              <w:t>38</w:t>
            </w:r>
            <w:r>
              <w:rPr>
                <w:noProof/>
                <w:webHidden/>
              </w:rPr>
              <w:fldChar w:fldCharType="end"/>
            </w:r>
          </w:hyperlink>
        </w:p>
        <w:p w14:paraId="491935D2" w14:textId="637F02DC"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86" w:history="1">
            <w:r w:rsidRPr="00A5334E">
              <w:rPr>
                <w:rStyle w:val="Hyperlink"/>
                <w:noProof/>
              </w:rPr>
              <w:t>4.2.</w:t>
            </w:r>
            <w:r>
              <w:rPr>
                <w:rFonts w:eastAsiaTheme="minorEastAsia"/>
                <w:noProof/>
                <w:kern w:val="2"/>
                <w:lang w:eastAsia="en-AU"/>
                <w14:ligatures w14:val="standardContextual"/>
              </w:rPr>
              <w:tab/>
            </w:r>
            <w:r w:rsidRPr="00A5334E">
              <w:rPr>
                <w:rStyle w:val="Hyperlink"/>
                <w:noProof/>
              </w:rPr>
              <w:t>What else is needed</w:t>
            </w:r>
            <w:r>
              <w:rPr>
                <w:noProof/>
                <w:webHidden/>
              </w:rPr>
              <w:tab/>
            </w:r>
            <w:r>
              <w:rPr>
                <w:noProof/>
                <w:webHidden/>
              </w:rPr>
              <w:fldChar w:fldCharType="begin"/>
            </w:r>
            <w:r>
              <w:rPr>
                <w:noProof/>
                <w:webHidden/>
              </w:rPr>
              <w:instrText xml:space="preserve"> PAGEREF _Toc184414886 \h </w:instrText>
            </w:r>
            <w:r>
              <w:rPr>
                <w:noProof/>
                <w:webHidden/>
              </w:rPr>
            </w:r>
            <w:r>
              <w:rPr>
                <w:noProof/>
                <w:webHidden/>
              </w:rPr>
              <w:fldChar w:fldCharType="separate"/>
            </w:r>
            <w:r w:rsidR="00ED7D1C">
              <w:rPr>
                <w:noProof/>
                <w:webHidden/>
              </w:rPr>
              <w:t>40</w:t>
            </w:r>
            <w:r>
              <w:rPr>
                <w:noProof/>
                <w:webHidden/>
              </w:rPr>
              <w:fldChar w:fldCharType="end"/>
            </w:r>
          </w:hyperlink>
        </w:p>
        <w:p w14:paraId="67328F01" w14:textId="2DDB91E7" w:rsidR="006A442B" w:rsidRDefault="006A442B">
          <w:pPr>
            <w:pStyle w:val="TOC1"/>
            <w:tabs>
              <w:tab w:val="left" w:pos="440"/>
              <w:tab w:val="right" w:leader="dot" w:pos="9016"/>
            </w:tabs>
            <w:rPr>
              <w:rFonts w:eastAsiaTheme="minorEastAsia"/>
              <w:noProof/>
              <w:kern w:val="2"/>
              <w:lang w:eastAsia="en-AU"/>
              <w14:ligatures w14:val="standardContextual"/>
            </w:rPr>
          </w:pPr>
          <w:hyperlink w:anchor="_Toc184414887" w:history="1">
            <w:r w:rsidRPr="00A5334E">
              <w:rPr>
                <w:rStyle w:val="Hyperlink"/>
                <w:noProof/>
              </w:rPr>
              <w:t>5.</w:t>
            </w:r>
            <w:r>
              <w:rPr>
                <w:rFonts w:eastAsiaTheme="minorEastAsia"/>
                <w:noProof/>
                <w:kern w:val="2"/>
                <w:lang w:eastAsia="en-AU"/>
                <w14:ligatures w14:val="standardContextual"/>
              </w:rPr>
              <w:tab/>
            </w:r>
            <w:r w:rsidRPr="00A5334E">
              <w:rPr>
                <w:rStyle w:val="Hyperlink"/>
                <w:noProof/>
              </w:rPr>
              <w:t>Self-advocacy</w:t>
            </w:r>
            <w:r>
              <w:rPr>
                <w:noProof/>
                <w:webHidden/>
              </w:rPr>
              <w:tab/>
            </w:r>
            <w:r>
              <w:rPr>
                <w:noProof/>
                <w:webHidden/>
              </w:rPr>
              <w:fldChar w:fldCharType="begin"/>
            </w:r>
            <w:r>
              <w:rPr>
                <w:noProof/>
                <w:webHidden/>
              </w:rPr>
              <w:instrText xml:space="preserve"> PAGEREF _Toc184414887 \h </w:instrText>
            </w:r>
            <w:r>
              <w:rPr>
                <w:noProof/>
                <w:webHidden/>
              </w:rPr>
            </w:r>
            <w:r>
              <w:rPr>
                <w:noProof/>
                <w:webHidden/>
              </w:rPr>
              <w:fldChar w:fldCharType="separate"/>
            </w:r>
            <w:r w:rsidR="00ED7D1C">
              <w:rPr>
                <w:noProof/>
                <w:webHidden/>
              </w:rPr>
              <w:t>42</w:t>
            </w:r>
            <w:r>
              <w:rPr>
                <w:noProof/>
                <w:webHidden/>
              </w:rPr>
              <w:fldChar w:fldCharType="end"/>
            </w:r>
          </w:hyperlink>
        </w:p>
        <w:p w14:paraId="19A511C7" w14:textId="50590599"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88" w:history="1">
            <w:r w:rsidRPr="00A5334E">
              <w:rPr>
                <w:rStyle w:val="Hyperlink"/>
                <w:noProof/>
              </w:rPr>
              <w:t>5.1.</w:t>
            </w:r>
            <w:r>
              <w:rPr>
                <w:rFonts w:eastAsiaTheme="minorEastAsia"/>
                <w:noProof/>
                <w:kern w:val="2"/>
                <w:lang w:eastAsia="en-AU"/>
                <w14:ligatures w14:val="standardContextual"/>
              </w:rPr>
              <w:tab/>
            </w:r>
            <w:r w:rsidRPr="00A5334E">
              <w:rPr>
                <w:rStyle w:val="Hyperlink"/>
                <w:noProof/>
              </w:rPr>
              <w:t>Existing supports for self-advocacy</w:t>
            </w:r>
            <w:r>
              <w:rPr>
                <w:noProof/>
                <w:webHidden/>
              </w:rPr>
              <w:tab/>
            </w:r>
            <w:r>
              <w:rPr>
                <w:noProof/>
                <w:webHidden/>
              </w:rPr>
              <w:fldChar w:fldCharType="begin"/>
            </w:r>
            <w:r>
              <w:rPr>
                <w:noProof/>
                <w:webHidden/>
              </w:rPr>
              <w:instrText xml:space="preserve"> PAGEREF _Toc184414888 \h </w:instrText>
            </w:r>
            <w:r>
              <w:rPr>
                <w:noProof/>
                <w:webHidden/>
              </w:rPr>
            </w:r>
            <w:r>
              <w:rPr>
                <w:noProof/>
                <w:webHidden/>
              </w:rPr>
              <w:fldChar w:fldCharType="separate"/>
            </w:r>
            <w:r w:rsidR="00ED7D1C">
              <w:rPr>
                <w:noProof/>
                <w:webHidden/>
              </w:rPr>
              <w:t>42</w:t>
            </w:r>
            <w:r>
              <w:rPr>
                <w:noProof/>
                <w:webHidden/>
              </w:rPr>
              <w:fldChar w:fldCharType="end"/>
            </w:r>
          </w:hyperlink>
        </w:p>
        <w:p w14:paraId="6CA7AECC" w14:textId="5127EE4D"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89" w:history="1">
            <w:r w:rsidRPr="00A5334E">
              <w:rPr>
                <w:rStyle w:val="Hyperlink"/>
                <w:noProof/>
              </w:rPr>
              <w:t>5.2.</w:t>
            </w:r>
            <w:r>
              <w:rPr>
                <w:rFonts w:eastAsiaTheme="minorEastAsia"/>
                <w:noProof/>
                <w:kern w:val="2"/>
                <w:lang w:eastAsia="en-AU"/>
                <w14:ligatures w14:val="standardContextual"/>
              </w:rPr>
              <w:tab/>
            </w:r>
            <w:r w:rsidRPr="00A5334E">
              <w:rPr>
                <w:rStyle w:val="Hyperlink"/>
                <w:noProof/>
              </w:rPr>
              <w:t>What else is needed</w:t>
            </w:r>
            <w:r>
              <w:rPr>
                <w:noProof/>
                <w:webHidden/>
              </w:rPr>
              <w:tab/>
            </w:r>
            <w:r>
              <w:rPr>
                <w:noProof/>
                <w:webHidden/>
              </w:rPr>
              <w:fldChar w:fldCharType="begin"/>
            </w:r>
            <w:r>
              <w:rPr>
                <w:noProof/>
                <w:webHidden/>
              </w:rPr>
              <w:instrText xml:space="preserve"> PAGEREF _Toc184414889 \h </w:instrText>
            </w:r>
            <w:r>
              <w:rPr>
                <w:noProof/>
                <w:webHidden/>
              </w:rPr>
            </w:r>
            <w:r>
              <w:rPr>
                <w:noProof/>
                <w:webHidden/>
              </w:rPr>
              <w:fldChar w:fldCharType="separate"/>
            </w:r>
            <w:r w:rsidR="00ED7D1C">
              <w:rPr>
                <w:noProof/>
                <w:webHidden/>
              </w:rPr>
              <w:t>43</w:t>
            </w:r>
            <w:r>
              <w:rPr>
                <w:noProof/>
                <w:webHidden/>
              </w:rPr>
              <w:fldChar w:fldCharType="end"/>
            </w:r>
          </w:hyperlink>
        </w:p>
        <w:p w14:paraId="77E9A817" w14:textId="57D25D57"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90" w:history="1">
            <w:r w:rsidRPr="00A5334E">
              <w:rPr>
                <w:rStyle w:val="Hyperlink"/>
                <w:noProof/>
              </w:rPr>
              <w:t>5.2.1.</w:t>
            </w:r>
            <w:r>
              <w:rPr>
                <w:rFonts w:eastAsiaTheme="minorEastAsia"/>
                <w:noProof/>
                <w:kern w:val="2"/>
                <w:lang w:eastAsia="en-AU"/>
                <w14:ligatures w14:val="standardContextual"/>
              </w:rPr>
              <w:tab/>
            </w:r>
            <w:r w:rsidRPr="00A5334E">
              <w:rPr>
                <w:rStyle w:val="Hyperlink"/>
                <w:noProof/>
              </w:rPr>
              <w:t>Recognise strong links between all forms of advocacy</w:t>
            </w:r>
            <w:r>
              <w:rPr>
                <w:noProof/>
                <w:webHidden/>
              </w:rPr>
              <w:tab/>
            </w:r>
            <w:r>
              <w:rPr>
                <w:noProof/>
                <w:webHidden/>
              </w:rPr>
              <w:fldChar w:fldCharType="begin"/>
            </w:r>
            <w:r>
              <w:rPr>
                <w:noProof/>
                <w:webHidden/>
              </w:rPr>
              <w:instrText xml:space="preserve"> PAGEREF _Toc184414890 \h </w:instrText>
            </w:r>
            <w:r>
              <w:rPr>
                <w:noProof/>
                <w:webHidden/>
              </w:rPr>
            </w:r>
            <w:r>
              <w:rPr>
                <w:noProof/>
                <w:webHidden/>
              </w:rPr>
              <w:fldChar w:fldCharType="separate"/>
            </w:r>
            <w:r w:rsidR="00ED7D1C">
              <w:rPr>
                <w:noProof/>
                <w:webHidden/>
              </w:rPr>
              <w:t>43</w:t>
            </w:r>
            <w:r>
              <w:rPr>
                <w:noProof/>
                <w:webHidden/>
              </w:rPr>
              <w:fldChar w:fldCharType="end"/>
            </w:r>
          </w:hyperlink>
        </w:p>
        <w:p w14:paraId="59E26E6B" w14:textId="704ACBC0"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91" w:history="1">
            <w:r w:rsidRPr="00A5334E">
              <w:rPr>
                <w:rStyle w:val="Hyperlink"/>
                <w:noProof/>
              </w:rPr>
              <w:t>5.2.2.</w:t>
            </w:r>
            <w:r>
              <w:rPr>
                <w:rFonts w:eastAsiaTheme="minorEastAsia"/>
                <w:noProof/>
                <w:kern w:val="2"/>
                <w:lang w:eastAsia="en-AU"/>
                <w14:ligatures w14:val="standardContextual"/>
              </w:rPr>
              <w:tab/>
            </w:r>
            <w:r w:rsidRPr="00A5334E">
              <w:rPr>
                <w:rStyle w:val="Hyperlink"/>
                <w:noProof/>
              </w:rPr>
              <w:t>Establish a holistic advocacy framework within Foundational Supports</w:t>
            </w:r>
            <w:r>
              <w:rPr>
                <w:noProof/>
                <w:webHidden/>
              </w:rPr>
              <w:tab/>
            </w:r>
            <w:r>
              <w:rPr>
                <w:noProof/>
                <w:webHidden/>
              </w:rPr>
              <w:fldChar w:fldCharType="begin"/>
            </w:r>
            <w:r>
              <w:rPr>
                <w:noProof/>
                <w:webHidden/>
              </w:rPr>
              <w:instrText xml:space="preserve"> PAGEREF _Toc184414891 \h </w:instrText>
            </w:r>
            <w:r>
              <w:rPr>
                <w:noProof/>
                <w:webHidden/>
              </w:rPr>
            </w:r>
            <w:r>
              <w:rPr>
                <w:noProof/>
                <w:webHidden/>
              </w:rPr>
              <w:fldChar w:fldCharType="separate"/>
            </w:r>
            <w:r w:rsidR="00ED7D1C">
              <w:rPr>
                <w:noProof/>
                <w:webHidden/>
              </w:rPr>
              <w:t>45</w:t>
            </w:r>
            <w:r>
              <w:rPr>
                <w:noProof/>
                <w:webHidden/>
              </w:rPr>
              <w:fldChar w:fldCharType="end"/>
            </w:r>
          </w:hyperlink>
        </w:p>
        <w:p w14:paraId="5EB2E6A5" w14:textId="7F85AC63"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92" w:history="1">
            <w:r w:rsidRPr="00A5334E">
              <w:rPr>
                <w:rStyle w:val="Hyperlink"/>
                <w:noProof/>
              </w:rPr>
              <w:t>5.2.3.</w:t>
            </w:r>
            <w:r>
              <w:rPr>
                <w:rFonts w:eastAsiaTheme="minorEastAsia"/>
                <w:noProof/>
                <w:kern w:val="2"/>
                <w:lang w:eastAsia="en-AU"/>
                <w14:ligatures w14:val="standardContextual"/>
              </w:rPr>
              <w:tab/>
            </w:r>
            <w:r w:rsidRPr="00A5334E">
              <w:rPr>
                <w:rStyle w:val="Hyperlink"/>
                <w:noProof/>
              </w:rPr>
              <w:t>Embed Supported Decision-Making approaches</w:t>
            </w:r>
            <w:r>
              <w:rPr>
                <w:noProof/>
                <w:webHidden/>
              </w:rPr>
              <w:tab/>
            </w:r>
            <w:r>
              <w:rPr>
                <w:noProof/>
                <w:webHidden/>
              </w:rPr>
              <w:fldChar w:fldCharType="begin"/>
            </w:r>
            <w:r>
              <w:rPr>
                <w:noProof/>
                <w:webHidden/>
              </w:rPr>
              <w:instrText xml:space="preserve"> PAGEREF _Toc184414892 \h </w:instrText>
            </w:r>
            <w:r>
              <w:rPr>
                <w:noProof/>
                <w:webHidden/>
              </w:rPr>
            </w:r>
            <w:r>
              <w:rPr>
                <w:noProof/>
                <w:webHidden/>
              </w:rPr>
              <w:fldChar w:fldCharType="separate"/>
            </w:r>
            <w:r w:rsidR="00ED7D1C">
              <w:rPr>
                <w:noProof/>
                <w:webHidden/>
              </w:rPr>
              <w:t>46</w:t>
            </w:r>
            <w:r>
              <w:rPr>
                <w:noProof/>
                <w:webHidden/>
              </w:rPr>
              <w:fldChar w:fldCharType="end"/>
            </w:r>
          </w:hyperlink>
        </w:p>
        <w:p w14:paraId="104737BD" w14:textId="3ABBAF22" w:rsidR="006A442B" w:rsidRDefault="006A442B">
          <w:pPr>
            <w:pStyle w:val="TOC1"/>
            <w:tabs>
              <w:tab w:val="left" w:pos="440"/>
              <w:tab w:val="right" w:leader="dot" w:pos="9016"/>
            </w:tabs>
            <w:rPr>
              <w:rFonts w:eastAsiaTheme="minorEastAsia"/>
              <w:noProof/>
              <w:kern w:val="2"/>
              <w:lang w:eastAsia="en-AU"/>
              <w14:ligatures w14:val="standardContextual"/>
            </w:rPr>
          </w:pPr>
          <w:hyperlink w:anchor="_Toc184414893" w:history="1">
            <w:r w:rsidRPr="00A5334E">
              <w:rPr>
                <w:rStyle w:val="Hyperlink"/>
                <w:noProof/>
              </w:rPr>
              <w:t>6.</w:t>
            </w:r>
            <w:r>
              <w:rPr>
                <w:rFonts w:eastAsiaTheme="minorEastAsia"/>
                <w:noProof/>
                <w:kern w:val="2"/>
                <w:lang w:eastAsia="en-AU"/>
                <w14:ligatures w14:val="standardContextual"/>
              </w:rPr>
              <w:tab/>
            </w:r>
            <w:r w:rsidRPr="00A5334E">
              <w:rPr>
                <w:rStyle w:val="Hyperlink"/>
                <w:noProof/>
              </w:rPr>
              <w:t>Capacity building</w:t>
            </w:r>
            <w:r>
              <w:rPr>
                <w:noProof/>
                <w:webHidden/>
              </w:rPr>
              <w:tab/>
            </w:r>
            <w:r>
              <w:rPr>
                <w:noProof/>
                <w:webHidden/>
              </w:rPr>
              <w:fldChar w:fldCharType="begin"/>
            </w:r>
            <w:r>
              <w:rPr>
                <w:noProof/>
                <w:webHidden/>
              </w:rPr>
              <w:instrText xml:space="preserve"> PAGEREF _Toc184414893 \h </w:instrText>
            </w:r>
            <w:r>
              <w:rPr>
                <w:noProof/>
                <w:webHidden/>
              </w:rPr>
            </w:r>
            <w:r>
              <w:rPr>
                <w:noProof/>
                <w:webHidden/>
              </w:rPr>
              <w:fldChar w:fldCharType="separate"/>
            </w:r>
            <w:r w:rsidR="00ED7D1C">
              <w:rPr>
                <w:noProof/>
                <w:webHidden/>
              </w:rPr>
              <w:t>49</w:t>
            </w:r>
            <w:r>
              <w:rPr>
                <w:noProof/>
                <w:webHidden/>
              </w:rPr>
              <w:fldChar w:fldCharType="end"/>
            </w:r>
          </w:hyperlink>
        </w:p>
        <w:p w14:paraId="17320170" w14:textId="5887A0CF"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94" w:history="1">
            <w:r w:rsidRPr="00A5334E">
              <w:rPr>
                <w:rStyle w:val="Hyperlink"/>
                <w:noProof/>
              </w:rPr>
              <w:t>6.1.</w:t>
            </w:r>
            <w:r>
              <w:rPr>
                <w:rFonts w:eastAsiaTheme="minorEastAsia"/>
                <w:noProof/>
                <w:kern w:val="2"/>
                <w:lang w:eastAsia="en-AU"/>
                <w14:ligatures w14:val="standardContextual"/>
              </w:rPr>
              <w:tab/>
            </w:r>
            <w:r w:rsidRPr="00A5334E">
              <w:rPr>
                <w:rStyle w:val="Hyperlink"/>
                <w:noProof/>
              </w:rPr>
              <w:t>Existing supports for capacity building</w:t>
            </w:r>
            <w:r>
              <w:rPr>
                <w:noProof/>
                <w:webHidden/>
              </w:rPr>
              <w:tab/>
            </w:r>
            <w:r>
              <w:rPr>
                <w:noProof/>
                <w:webHidden/>
              </w:rPr>
              <w:fldChar w:fldCharType="begin"/>
            </w:r>
            <w:r>
              <w:rPr>
                <w:noProof/>
                <w:webHidden/>
              </w:rPr>
              <w:instrText xml:space="preserve"> PAGEREF _Toc184414894 \h </w:instrText>
            </w:r>
            <w:r>
              <w:rPr>
                <w:noProof/>
                <w:webHidden/>
              </w:rPr>
            </w:r>
            <w:r>
              <w:rPr>
                <w:noProof/>
                <w:webHidden/>
              </w:rPr>
              <w:fldChar w:fldCharType="separate"/>
            </w:r>
            <w:r w:rsidR="00ED7D1C">
              <w:rPr>
                <w:noProof/>
                <w:webHidden/>
              </w:rPr>
              <w:t>49</w:t>
            </w:r>
            <w:r>
              <w:rPr>
                <w:noProof/>
                <w:webHidden/>
              </w:rPr>
              <w:fldChar w:fldCharType="end"/>
            </w:r>
          </w:hyperlink>
        </w:p>
        <w:p w14:paraId="746DECDE" w14:textId="0227C3A0"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895" w:history="1">
            <w:r w:rsidRPr="00A5334E">
              <w:rPr>
                <w:rStyle w:val="Hyperlink"/>
                <w:noProof/>
              </w:rPr>
              <w:t>6.2.</w:t>
            </w:r>
            <w:r>
              <w:rPr>
                <w:rFonts w:eastAsiaTheme="minorEastAsia"/>
                <w:noProof/>
                <w:kern w:val="2"/>
                <w:lang w:eastAsia="en-AU"/>
                <w14:ligatures w14:val="standardContextual"/>
              </w:rPr>
              <w:tab/>
            </w:r>
            <w:r w:rsidRPr="00A5334E">
              <w:rPr>
                <w:rStyle w:val="Hyperlink"/>
                <w:noProof/>
              </w:rPr>
              <w:t>What else is needed</w:t>
            </w:r>
            <w:r>
              <w:rPr>
                <w:noProof/>
                <w:webHidden/>
              </w:rPr>
              <w:tab/>
            </w:r>
            <w:r>
              <w:rPr>
                <w:noProof/>
                <w:webHidden/>
              </w:rPr>
              <w:fldChar w:fldCharType="begin"/>
            </w:r>
            <w:r>
              <w:rPr>
                <w:noProof/>
                <w:webHidden/>
              </w:rPr>
              <w:instrText xml:space="preserve"> PAGEREF _Toc184414895 \h </w:instrText>
            </w:r>
            <w:r>
              <w:rPr>
                <w:noProof/>
                <w:webHidden/>
              </w:rPr>
            </w:r>
            <w:r>
              <w:rPr>
                <w:noProof/>
                <w:webHidden/>
              </w:rPr>
              <w:fldChar w:fldCharType="separate"/>
            </w:r>
            <w:r w:rsidR="00ED7D1C">
              <w:rPr>
                <w:noProof/>
                <w:webHidden/>
              </w:rPr>
              <w:t>50</w:t>
            </w:r>
            <w:r>
              <w:rPr>
                <w:noProof/>
                <w:webHidden/>
              </w:rPr>
              <w:fldChar w:fldCharType="end"/>
            </w:r>
          </w:hyperlink>
        </w:p>
        <w:p w14:paraId="3824EFEB" w14:textId="731470F4"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96" w:history="1">
            <w:r w:rsidRPr="00A5334E">
              <w:rPr>
                <w:rStyle w:val="Hyperlink"/>
                <w:noProof/>
              </w:rPr>
              <w:t>6.2.1.</w:t>
            </w:r>
            <w:r>
              <w:rPr>
                <w:rFonts w:eastAsiaTheme="minorEastAsia"/>
                <w:noProof/>
                <w:kern w:val="2"/>
                <w:lang w:eastAsia="en-AU"/>
                <w14:ligatures w14:val="standardContextual"/>
              </w:rPr>
              <w:tab/>
            </w:r>
            <w:r w:rsidRPr="00A5334E">
              <w:rPr>
                <w:rStyle w:val="Hyperlink"/>
                <w:noProof/>
              </w:rPr>
              <w:t>Review capacity building approach to target society</w:t>
            </w:r>
            <w:r>
              <w:rPr>
                <w:noProof/>
                <w:webHidden/>
              </w:rPr>
              <w:tab/>
            </w:r>
            <w:r>
              <w:rPr>
                <w:noProof/>
                <w:webHidden/>
              </w:rPr>
              <w:fldChar w:fldCharType="begin"/>
            </w:r>
            <w:r>
              <w:rPr>
                <w:noProof/>
                <w:webHidden/>
              </w:rPr>
              <w:instrText xml:space="preserve"> PAGEREF _Toc184414896 \h </w:instrText>
            </w:r>
            <w:r>
              <w:rPr>
                <w:noProof/>
                <w:webHidden/>
              </w:rPr>
            </w:r>
            <w:r>
              <w:rPr>
                <w:noProof/>
                <w:webHidden/>
              </w:rPr>
              <w:fldChar w:fldCharType="separate"/>
            </w:r>
            <w:r w:rsidR="00ED7D1C">
              <w:rPr>
                <w:noProof/>
                <w:webHidden/>
              </w:rPr>
              <w:t>52</w:t>
            </w:r>
            <w:r>
              <w:rPr>
                <w:noProof/>
                <w:webHidden/>
              </w:rPr>
              <w:fldChar w:fldCharType="end"/>
            </w:r>
          </w:hyperlink>
        </w:p>
        <w:p w14:paraId="7C14DA2B" w14:textId="55C99890"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97" w:history="1">
            <w:r w:rsidRPr="00A5334E">
              <w:rPr>
                <w:rStyle w:val="Hyperlink"/>
                <w:noProof/>
              </w:rPr>
              <w:t>6.2.2.</w:t>
            </w:r>
            <w:r>
              <w:rPr>
                <w:rFonts w:eastAsiaTheme="minorEastAsia"/>
                <w:noProof/>
                <w:kern w:val="2"/>
                <w:lang w:eastAsia="en-AU"/>
                <w14:ligatures w14:val="standardContextual"/>
              </w:rPr>
              <w:tab/>
            </w:r>
            <w:r w:rsidRPr="00A5334E">
              <w:rPr>
                <w:rStyle w:val="Hyperlink"/>
                <w:noProof/>
              </w:rPr>
              <w:t>Economic inclusion must not be overlooked</w:t>
            </w:r>
            <w:r>
              <w:rPr>
                <w:noProof/>
                <w:webHidden/>
              </w:rPr>
              <w:tab/>
            </w:r>
            <w:r>
              <w:rPr>
                <w:noProof/>
                <w:webHidden/>
              </w:rPr>
              <w:fldChar w:fldCharType="begin"/>
            </w:r>
            <w:r>
              <w:rPr>
                <w:noProof/>
                <w:webHidden/>
              </w:rPr>
              <w:instrText xml:space="preserve"> PAGEREF _Toc184414897 \h </w:instrText>
            </w:r>
            <w:r>
              <w:rPr>
                <w:noProof/>
                <w:webHidden/>
              </w:rPr>
            </w:r>
            <w:r>
              <w:rPr>
                <w:noProof/>
                <w:webHidden/>
              </w:rPr>
              <w:fldChar w:fldCharType="separate"/>
            </w:r>
            <w:r w:rsidR="00ED7D1C">
              <w:rPr>
                <w:noProof/>
                <w:webHidden/>
              </w:rPr>
              <w:t>53</w:t>
            </w:r>
            <w:r>
              <w:rPr>
                <w:noProof/>
                <w:webHidden/>
              </w:rPr>
              <w:fldChar w:fldCharType="end"/>
            </w:r>
          </w:hyperlink>
        </w:p>
        <w:p w14:paraId="47028E9E" w14:textId="2F5CCA52"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898" w:history="1">
            <w:r w:rsidRPr="00A5334E">
              <w:rPr>
                <w:rStyle w:val="Hyperlink"/>
                <w:noProof/>
              </w:rPr>
              <w:t>6.2.3.</w:t>
            </w:r>
            <w:r>
              <w:rPr>
                <w:rFonts w:eastAsiaTheme="minorEastAsia"/>
                <w:noProof/>
                <w:kern w:val="2"/>
                <w:lang w:eastAsia="en-AU"/>
                <w14:ligatures w14:val="standardContextual"/>
              </w:rPr>
              <w:tab/>
            </w:r>
            <w:r w:rsidRPr="00A5334E">
              <w:rPr>
                <w:rStyle w:val="Hyperlink"/>
                <w:noProof/>
              </w:rPr>
              <w:t>The public sector as inclusive employment leaders</w:t>
            </w:r>
            <w:r>
              <w:rPr>
                <w:noProof/>
                <w:webHidden/>
              </w:rPr>
              <w:tab/>
            </w:r>
            <w:r>
              <w:rPr>
                <w:noProof/>
                <w:webHidden/>
              </w:rPr>
              <w:fldChar w:fldCharType="begin"/>
            </w:r>
            <w:r>
              <w:rPr>
                <w:noProof/>
                <w:webHidden/>
              </w:rPr>
              <w:instrText xml:space="preserve"> PAGEREF _Toc184414898 \h </w:instrText>
            </w:r>
            <w:r>
              <w:rPr>
                <w:noProof/>
                <w:webHidden/>
              </w:rPr>
            </w:r>
            <w:r>
              <w:rPr>
                <w:noProof/>
                <w:webHidden/>
              </w:rPr>
              <w:fldChar w:fldCharType="separate"/>
            </w:r>
            <w:r w:rsidR="00ED7D1C">
              <w:rPr>
                <w:noProof/>
                <w:webHidden/>
              </w:rPr>
              <w:t>54</w:t>
            </w:r>
            <w:r>
              <w:rPr>
                <w:noProof/>
                <w:webHidden/>
              </w:rPr>
              <w:fldChar w:fldCharType="end"/>
            </w:r>
          </w:hyperlink>
        </w:p>
        <w:p w14:paraId="48262BEC" w14:textId="10B839BD" w:rsidR="006A442B" w:rsidRDefault="006A442B">
          <w:pPr>
            <w:pStyle w:val="TOC1"/>
            <w:tabs>
              <w:tab w:val="left" w:pos="440"/>
              <w:tab w:val="right" w:leader="dot" w:pos="9016"/>
            </w:tabs>
            <w:rPr>
              <w:rFonts w:eastAsiaTheme="minorEastAsia"/>
              <w:noProof/>
              <w:kern w:val="2"/>
              <w:lang w:eastAsia="en-AU"/>
              <w14:ligatures w14:val="standardContextual"/>
            </w:rPr>
          </w:pPr>
          <w:hyperlink w:anchor="_Toc184414899" w:history="1">
            <w:r w:rsidRPr="00A5334E">
              <w:rPr>
                <w:rStyle w:val="Hyperlink"/>
                <w:noProof/>
              </w:rPr>
              <w:t>7.</w:t>
            </w:r>
            <w:r>
              <w:rPr>
                <w:rFonts w:eastAsiaTheme="minorEastAsia"/>
                <w:noProof/>
                <w:kern w:val="2"/>
                <w:lang w:eastAsia="en-AU"/>
                <w14:ligatures w14:val="standardContextual"/>
              </w:rPr>
              <w:tab/>
            </w:r>
            <w:r w:rsidRPr="00A5334E">
              <w:rPr>
                <w:rStyle w:val="Hyperlink"/>
                <w:noProof/>
              </w:rPr>
              <w:t>Information and advice</w:t>
            </w:r>
            <w:r>
              <w:rPr>
                <w:noProof/>
                <w:webHidden/>
              </w:rPr>
              <w:tab/>
            </w:r>
            <w:r>
              <w:rPr>
                <w:noProof/>
                <w:webHidden/>
              </w:rPr>
              <w:fldChar w:fldCharType="begin"/>
            </w:r>
            <w:r>
              <w:rPr>
                <w:noProof/>
                <w:webHidden/>
              </w:rPr>
              <w:instrText xml:space="preserve"> PAGEREF _Toc184414899 \h </w:instrText>
            </w:r>
            <w:r>
              <w:rPr>
                <w:noProof/>
                <w:webHidden/>
              </w:rPr>
            </w:r>
            <w:r>
              <w:rPr>
                <w:noProof/>
                <w:webHidden/>
              </w:rPr>
              <w:fldChar w:fldCharType="separate"/>
            </w:r>
            <w:r w:rsidR="00ED7D1C">
              <w:rPr>
                <w:noProof/>
                <w:webHidden/>
              </w:rPr>
              <w:t>56</w:t>
            </w:r>
            <w:r>
              <w:rPr>
                <w:noProof/>
                <w:webHidden/>
              </w:rPr>
              <w:fldChar w:fldCharType="end"/>
            </w:r>
          </w:hyperlink>
        </w:p>
        <w:p w14:paraId="7B6FE57B" w14:textId="3B6E6A2E"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900" w:history="1">
            <w:r w:rsidRPr="00A5334E">
              <w:rPr>
                <w:rStyle w:val="Hyperlink"/>
                <w:noProof/>
              </w:rPr>
              <w:t>7.1.</w:t>
            </w:r>
            <w:r>
              <w:rPr>
                <w:rFonts w:eastAsiaTheme="minorEastAsia"/>
                <w:noProof/>
                <w:kern w:val="2"/>
                <w:lang w:eastAsia="en-AU"/>
                <w14:ligatures w14:val="standardContextual"/>
              </w:rPr>
              <w:tab/>
            </w:r>
            <w:r w:rsidRPr="00A5334E">
              <w:rPr>
                <w:rStyle w:val="Hyperlink"/>
                <w:noProof/>
              </w:rPr>
              <w:t>Existing supports for information and advice</w:t>
            </w:r>
            <w:r>
              <w:rPr>
                <w:noProof/>
                <w:webHidden/>
              </w:rPr>
              <w:tab/>
            </w:r>
            <w:r>
              <w:rPr>
                <w:noProof/>
                <w:webHidden/>
              </w:rPr>
              <w:fldChar w:fldCharType="begin"/>
            </w:r>
            <w:r>
              <w:rPr>
                <w:noProof/>
                <w:webHidden/>
              </w:rPr>
              <w:instrText xml:space="preserve"> PAGEREF _Toc184414900 \h </w:instrText>
            </w:r>
            <w:r>
              <w:rPr>
                <w:noProof/>
                <w:webHidden/>
              </w:rPr>
            </w:r>
            <w:r>
              <w:rPr>
                <w:noProof/>
                <w:webHidden/>
              </w:rPr>
              <w:fldChar w:fldCharType="separate"/>
            </w:r>
            <w:r w:rsidR="00ED7D1C">
              <w:rPr>
                <w:noProof/>
                <w:webHidden/>
              </w:rPr>
              <w:t>56</w:t>
            </w:r>
            <w:r>
              <w:rPr>
                <w:noProof/>
                <w:webHidden/>
              </w:rPr>
              <w:fldChar w:fldCharType="end"/>
            </w:r>
          </w:hyperlink>
        </w:p>
        <w:p w14:paraId="0EC39D57" w14:textId="1FD79C8A" w:rsidR="006A442B" w:rsidRDefault="006A442B">
          <w:pPr>
            <w:pStyle w:val="TOC2"/>
            <w:tabs>
              <w:tab w:val="left" w:pos="960"/>
              <w:tab w:val="right" w:leader="dot" w:pos="9016"/>
            </w:tabs>
            <w:rPr>
              <w:rFonts w:eastAsiaTheme="minorEastAsia"/>
              <w:noProof/>
              <w:kern w:val="2"/>
              <w:lang w:eastAsia="en-AU"/>
              <w14:ligatures w14:val="standardContextual"/>
            </w:rPr>
          </w:pPr>
          <w:hyperlink w:anchor="_Toc184414901" w:history="1">
            <w:r w:rsidRPr="00A5334E">
              <w:rPr>
                <w:rStyle w:val="Hyperlink"/>
                <w:noProof/>
              </w:rPr>
              <w:t>7.2.</w:t>
            </w:r>
            <w:r>
              <w:rPr>
                <w:rFonts w:eastAsiaTheme="minorEastAsia"/>
                <w:noProof/>
                <w:kern w:val="2"/>
                <w:lang w:eastAsia="en-AU"/>
                <w14:ligatures w14:val="standardContextual"/>
              </w:rPr>
              <w:tab/>
            </w:r>
            <w:r w:rsidRPr="00A5334E">
              <w:rPr>
                <w:rStyle w:val="Hyperlink"/>
                <w:noProof/>
              </w:rPr>
              <w:t>What else is needed</w:t>
            </w:r>
            <w:r>
              <w:rPr>
                <w:noProof/>
                <w:webHidden/>
              </w:rPr>
              <w:tab/>
            </w:r>
            <w:r>
              <w:rPr>
                <w:noProof/>
                <w:webHidden/>
              </w:rPr>
              <w:fldChar w:fldCharType="begin"/>
            </w:r>
            <w:r>
              <w:rPr>
                <w:noProof/>
                <w:webHidden/>
              </w:rPr>
              <w:instrText xml:space="preserve"> PAGEREF _Toc184414901 \h </w:instrText>
            </w:r>
            <w:r>
              <w:rPr>
                <w:noProof/>
                <w:webHidden/>
              </w:rPr>
            </w:r>
            <w:r>
              <w:rPr>
                <w:noProof/>
                <w:webHidden/>
              </w:rPr>
              <w:fldChar w:fldCharType="separate"/>
            </w:r>
            <w:r w:rsidR="00ED7D1C">
              <w:rPr>
                <w:noProof/>
                <w:webHidden/>
              </w:rPr>
              <w:t>57</w:t>
            </w:r>
            <w:r>
              <w:rPr>
                <w:noProof/>
                <w:webHidden/>
              </w:rPr>
              <w:fldChar w:fldCharType="end"/>
            </w:r>
          </w:hyperlink>
        </w:p>
        <w:p w14:paraId="0177DD9D" w14:textId="0072C511"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902" w:history="1">
            <w:r w:rsidRPr="00A5334E">
              <w:rPr>
                <w:rStyle w:val="Hyperlink"/>
                <w:noProof/>
              </w:rPr>
              <w:t>7.2.1.</w:t>
            </w:r>
            <w:r>
              <w:rPr>
                <w:rFonts w:eastAsiaTheme="minorEastAsia"/>
                <w:noProof/>
                <w:kern w:val="2"/>
                <w:lang w:eastAsia="en-AU"/>
                <w14:ligatures w14:val="standardContextual"/>
              </w:rPr>
              <w:tab/>
            </w:r>
            <w:r w:rsidRPr="00A5334E">
              <w:rPr>
                <w:rStyle w:val="Hyperlink"/>
                <w:noProof/>
              </w:rPr>
              <w:t>Disability Gateway is largely unknown</w:t>
            </w:r>
            <w:r>
              <w:rPr>
                <w:noProof/>
                <w:webHidden/>
              </w:rPr>
              <w:tab/>
            </w:r>
            <w:r>
              <w:rPr>
                <w:noProof/>
                <w:webHidden/>
              </w:rPr>
              <w:fldChar w:fldCharType="begin"/>
            </w:r>
            <w:r>
              <w:rPr>
                <w:noProof/>
                <w:webHidden/>
              </w:rPr>
              <w:instrText xml:space="preserve"> PAGEREF _Toc184414902 \h </w:instrText>
            </w:r>
            <w:r>
              <w:rPr>
                <w:noProof/>
                <w:webHidden/>
              </w:rPr>
            </w:r>
            <w:r>
              <w:rPr>
                <w:noProof/>
                <w:webHidden/>
              </w:rPr>
              <w:fldChar w:fldCharType="separate"/>
            </w:r>
            <w:r w:rsidR="00ED7D1C">
              <w:rPr>
                <w:noProof/>
                <w:webHidden/>
              </w:rPr>
              <w:t>58</w:t>
            </w:r>
            <w:r>
              <w:rPr>
                <w:noProof/>
                <w:webHidden/>
              </w:rPr>
              <w:fldChar w:fldCharType="end"/>
            </w:r>
          </w:hyperlink>
        </w:p>
        <w:p w14:paraId="6E7D7CB1" w14:textId="44B11BAB"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903" w:history="1">
            <w:r w:rsidRPr="00A5334E">
              <w:rPr>
                <w:rStyle w:val="Hyperlink"/>
                <w:noProof/>
              </w:rPr>
              <w:t>7.2.2.</w:t>
            </w:r>
            <w:r>
              <w:rPr>
                <w:rFonts w:eastAsiaTheme="minorEastAsia"/>
                <w:noProof/>
                <w:kern w:val="2"/>
                <w:lang w:eastAsia="en-AU"/>
                <w14:ligatures w14:val="standardContextual"/>
              </w:rPr>
              <w:tab/>
            </w:r>
            <w:r w:rsidRPr="00A5334E">
              <w:rPr>
                <w:rStyle w:val="Hyperlink"/>
                <w:noProof/>
              </w:rPr>
              <w:t>Remove unnecessary complexity from systems</w:t>
            </w:r>
            <w:r>
              <w:rPr>
                <w:noProof/>
                <w:webHidden/>
              </w:rPr>
              <w:tab/>
            </w:r>
            <w:r>
              <w:rPr>
                <w:noProof/>
                <w:webHidden/>
              </w:rPr>
              <w:fldChar w:fldCharType="begin"/>
            </w:r>
            <w:r>
              <w:rPr>
                <w:noProof/>
                <w:webHidden/>
              </w:rPr>
              <w:instrText xml:space="preserve"> PAGEREF _Toc184414903 \h </w:instrText>
            </w:r>
            <w:r>
              <w:rPr>
                <w:noProof/>
                <w:webHidden/>
              </w:rPr>
            </w:r>
            <w:r>
              <w:rPr>
                <w:noProof/>
                <w:webHidden/>
              </w:rPr>
              <w:fldChar w:fldCharType="separate"/>
            </w:r>
            <w:r w:rsidR="00ED7D1C">
              <w:rPr>
                <w:noProof/>
                <w:webHidden/>
              </w:rPr>
              <w:t>59</w:t>
            </w:r>
            <w:r>
              <w:rPr>
                <w:noProof/>
                <w:webHidden/>
              </w:rPr>
              <w:fldChar w:fldCharType="end"/>
            </w:r>
          </w:hyperlink>
        </w:p>
        <w:p w14:paraId="5F257608" w14:textId="01BD46F3"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904" w:history="1">
            <w:r w:rsidRPr="00A5334E">
              <w:rPr>
                <w:rStyle w:val="Hyperlink"/>
                <w:noProof/>
              </w:rPr>
              <w:t>7.2.3.</w:t>
            </w:r>
            <w:r>
              <w:rPr>
                <w:rFonts w:eastAsiaTheme="minorEastAsia"/>
                <w:noProof/>
                <w:kern w:val="2"/>
                <w:lang w:eastAsia="en-AU"/>
                <w14:ligatures w14:val="standardContextual"/>
              </w:rPr>
              <w:tab/>
            </w:r>
            <w:r w:rsidRPr="00A5334E">
              <w:rPr>
                <w:rStyle w:val="Hyperlink"/>
                <w:noProof/>
              </w:rPr>
              <w:t>Accessible communication formats required</w:t>
            </w:r>
            <w:r>
              <w:rPr>
                <w:noProof/>
                <w:webHidden/>
              </w:rPr>
              <w:tab/>
            </w:r>
            <w:r>
              <w:rPr>
                <w:noProof/>
                <w:webHidden/>
              </w:rPr>
              <w:fldChar w:fldCharType="begin"/>
            </w:r>
            <w:r>
              <w:rPr>
                <w:noProof/>
                <w:webHidden/>
              </w:rPr>
              <w:instrText xml:space="preserve"> PAGEREF _Toc184414904 \h </w:instrText>
            </w:r>
            <w:r>
              <w:rPr>
                <w:noProof/>
                <w:webHidden/>
              </w:rPr>
            </w:r>
            <w:r>
              <w:rPr>
                <w:noProof/>
                <w:webHidden/>
              </w:rPr>
              <w:fldChar w:fldCharType="separate"/>
            </w:r>
            <w:r w:rsidR="00ED7D1C">
              <w:rPr>
                <w:noProof/>
                <w:webHidden/>
              </w:rPr>
              <w:t>60</w:t>
            </w:r>
            <w:r>
              <w:rPr>
                <w:noProof/>
                <w:webHidden/>
              </w:rPr>
              <w:fldChar w:fldCharType="end"/>
            </w:r>
          </w:hyperlink>
        </w:p>
        <w:p w14:paraId="3B2DED4B" w14:textId="1BC14F78" w:rsidR="006A442B" w:rsidRDefault="006A442B">
          <w:pPr>
            <w:pStyle w:val="TOC3"/>
            <w:tabs>
              <w:tab w:val="left" w:pos="1440"/>
              <w:tab w:val="right" w:leader="dot" w:pos="9016"/>
            </w:tabs>
            <w:rPr>
              <w:rFonts w:eastAsiaTheme="minorEastAsia"/>
              <w:noProof/>
              <w:kern w:val="2"/>
              <w:lang w:eastAsia="en-AU"/>
              <w14:ligatures w14:val="standardContextual"/>
            </w:rPr>
          </w:pPr>
          <w:hyperlink w:anchor="_Toc184414905" w:history="1">
            <w:r w:rsidRPr="00A5334E">
              <w:rPr>
                <w:rStyle w:val="Hyperlink"/>
                <w:noProof/>
              </w:rPr>
              <w:t>7.2.4.</w:t>
            </w:r>
            <w:r>
              <w:rPr>
                <w:rFonts w:eastAsiaTheme="minorEastAsia"/>
                <w:noProof/>
                <w:kern w:val="2"/>
                <w:lang w:eastAsia="en-AU"/>
                <w14:ligatures w14:val="standardContextual"/>
              </w:rPr>
              <w:tab/>
            </w:r>
            <w:r w:rsidRPr="00A5334E">
              <w:rPr>
                <w:rStyle w:val="Hyperlink"/>
                <w:noProof/>
              </w:rPr>
              <w:t>Importance of navigation role</w:t>
            </w:r>
            <w:r>
              <w:rPr>
                <w:noProof/>
                <w:webHidden/>
              </w:rPr>
              <w:tab/>
            </w:r>
            <w:r>
              <w:rPr>
                <w:noProof/>
                <w:webHidden/>
              </w:rPr>
              <w:fldChar w:fldCharType="begin"/>
            </w:r>
            <w:r>
              <w:rPr>
                <w:noProof/>
                <w:webHidden/>
              </w:rPr>
              <w:instrText xml:space="preserve"> PAGEREF _Toc184414905 \h </w:instrText>
            </w:r>
            <w:r>
              <w:rPr>
                <w:noProof/>
                <w:webHidden/>
              </w:rPr>
            </w:r>
            <w:r>
              <w:rPr>
                <w:noProof/>
                <w:webHidden/>
              </w:rPr>
              <w:fldChar w:fldCharType="separate"/>
            </w:r>
            <w:r w:rsidR="00ED7D1C">
              <w:rPr>
                <w:noProof/>
                <w:webHidden/>
              </w:rPr>
              <w:t>61</w:t>
            </w:r>
            <w:r>
              <w:rPr>
                <w:noProof/>
                <w:webHidden/>
              </w:rPr>
              <w:fldChar w:fldCharType="end"/>
            </w:r>
          </w:hyperlink>
        </w:p>
        <w:p w14:paraId="6BF52EA9" w14:textId="794B7B8C" w:rsidR="006A442B" w:rsidRDefault="006A442B">
          <w:pPr>
            <w:pStyle w:val="TOC1"/>
            <w:tabs>
              <w:tab w:val="left" w:pos="440"/>
              <w:tab w:val="right" w:leader="dot" w:pos="9016"/>
            </w:tabs>
            <w:rPr>
              <w:rFonts w:eastAsiaTheme="minorEastAsia"/>
              <w:noProof/>
              <w:kern w:val="2"/>
              <w:lang w:eastAsia="en-AU"/>
              <w14:ligatures w14:val="standardContextual"/>
            </w:rPr>
          </w:pPr>
          <w:hyperlink w:anchor="_Toc184414906" w:history="1">
            <w:r w:rsidRPr="00A5334E">
              <w:rPr>
                <w:rStyle w:val="Hyperlink"/>
                <w:noProof/>
              </w:rPr>
              <w:t>8.</w:t>
            </w:r>
            <w:r>
              <w:rPr>
                <w:rFonts w:eastAsiaTheme="minorEastAsia"/>
                <w:noProof/>
                <w:kern w:val="2"/>
                <w:lang w:eastAsia="en-AU"/>
                <w14:ligatures w14:val="standardContextual"/>
              </w:rPr>
              <w:tab/>
            </w:r>
            <w:r w:rsidRPr="00A5334E">
              <w:rPr>
                <w:rStyle w:val="Hyperlink"/>
                <w:noProof/>
              </w:rPr>
              <w:t>Conclusion</w:t>
            </w:r>
            <w:r>
              <w:rPr>
                <w:noProof/>
                <w:webHidden/>
              </w:rPr>
              <w:tab/>
            </w:r>
            <w:r>
              <w:rPr>
                <w:noProof/>
                <w:webHidden/>
              </w:rPr>
              <w:fldChar w:fldCharType="begin"/>
            </w:r>
            <w:r>
              <w:rPr>
                <w:noProof/>
                <w:webHidden/>
              </w:rPr>
              <w:instrText xml:space="preserve"> PAGEREF _Toc184414906 \h </w:instrText>
            </w:r>
            <w:r>
              <w:rPr>
                <w:noProof/>
                <w:webHidden/>
              </w:rPr>
            </w:r>
            <w:r>
              <w:rPr>
                <w:noProof/>
                <w:webHidden/>
              </w:rPr>
              <w:fldChar w:fldCharType="separate"/>
            </w:r>
            <w:r w:rsidR="00ED7D1C">
              <w:rPr>
                <w:noProof/>
                <w:webHidden/>
              </w:rPr>
              <w:t>65</w:t>
            </w:r>
            <w:r>
              <w:rPr>
                <w:noProof/>
                <w:webHidden/>
              </w:rPr>
              <w:fldChar w:fldCharType="end"/>
            </w:r>
          </w:hyperlink>
        </w:p>
        <w:p w14:paraId="2C4083E0" w14:textId="380BF01F" w:rsidR="00887EE3" w:rsidRPr="008B120B" w:rsidRDefault="00244C2B" w:rsidP="00916D7C">
          <w:pPr>
            <w:spacing w:after="160"/>
          </w:pPr>
          <w:r w:rsidRPr="008B120B">
            <w:rPr>
              <w:b/>
              <w:bCs/>
              <w:noProof/>
            </w:rPr>
            <w:fldChar w:fldCharType="end"/>
          </w:r>
        </w:p>
      </w:sdtContent>
    </w:sdt>
    <w:p w14:paraId="420FF8C6" w14:textId="77777777" w:rsidR="00C042A4" w:rsidRPr="008B120B" w:rsidRDefault="00C042A4" w:rsidP="00916D7C">
      <w:pPr>
        <w:spacing w:after="160"/>
        <w:rPr>
          <w:lang w:eastAsia="ja-JP"/>
        </w:rPr>
      </w:pPr>
    </w:p>
    <w:p w14:paraId="7969C6D5" w14:textId="77777777" w:rsidR="00555B04" w:rsidRPr="008B120B" w:rsidRDefault="00447E60" w:rsidP="00916D7C">
      <w:pPr>
        <w:pStyle w:val="Heading1"/>
        <w:spacing w:after="160" w:line="360" w:lineRule="auto"/>
      </w:pPr>
      <w:r w:rsidRPr="008B120B">
        <w:br w:type="page"/>
      </w:r>
      <w:bookmarkStart w:id="1" w:name="_Toc184414864"/>
      <w:r w:rsidR="00555B04" w:rsidRPr="008B120B">
        <w:lastRenderedPageBreak/>
        <w:t>Summary</w:t>
      </w:r>
      <w:r w:rsidR="00C042A4" w:rsidRPr="008B120B">
        <w:t xml:space="preserve"> and recommendations</w:t>
      </w:r>
      <w:bookmarkEnd w:id="1"/>
    </w:p>
    <w:p w14:paraId="36C26EB0" w14:textId="14CDA9D1" w:rsidR="00FF42F6" w:rsidRPr="00FF42F6" w:rsidRDefault="00FF42F6" w:rsidP="00FF42F6">
      <w:pPr>
        <w:spacing w:after="160"/>
        <w:rPr>
          <w:color w:val="000000" w:themeColor="text1"/>
        </w:rPr>
      </w:pPr>
      <w:r w:rsidRPr="00FF42F6">
        <w:rPr>
          <w:color w:val="000000" w:themeColor="text1"/>
        </w:rPr>
        <w:t xml:space="preserve">The recognition of the dire need for a tier of high-quality disability supports to address the significant unmet needs of Australians with disability who are not eligible for individual National Disability Insurance Scheme (NDIS) plans is very welcome. Well-designed and appropriately funded Foundational Supports will deliver many benefits for </w:t>
      </w:r>
      <w:r w:rsidR="00E3435A">
        <w:rPr>
          <w:color w:val="000000" w:themeColor="text1"/>
        </w:rPr>
        <w:t>people</w:t>
      </w:r>
      <w:r w:rsidRPr="00FF42F6">
        <w:rPr>
          <w:color w:val="000000" w:themeColor="text1"/>
        </w:rPr>
        <w:t xml:space="preserve"> with disability, as well as their families, informal supports, allies, the disability sector, governments, the economy, and society. </w:t>
      </w:r>
    </w:p>
    <w:p w14:paraId="5C1D1B78" w14:textId="2D3E47A5" w:rsidR="00FF42F6" w:rsidRPr="00FF42F6" w:rsidRDefault="00FF42F6" w:rsidP="00FF42F6">
      <w:pPr>
        <w:spacing w:after="160"/>
        <w:rPr>
          <w:color w:val="000000" w:themeColor="text1"/>
        </w:rPr>
      </w:pPr>
      <w:r w:rsidRPr="00FF42F6">
        <w:rPr>
          <w:color w:val="000000" w:themeColor="text1"/>
        </w:rPr>
        <w:t xml:space="preserve">We believe the design of Foundational Supports presents a significant opportunity to adopt a fresh contemporary approach to supports for Australians with disability that reflects the Social Model of Disability. The Model of Citizenhood Support would provide a strong basis for building a comprehensive and cohesive national strategy that all tiers of government could use to coordinate their investments in </w:t>
      </w:r>
      <w:r w:rsidR="00E3435A">
        <w:rPr>
          <w:color w:val="000000" w:themeColor="text1"/>
        </w:rPr>
        <w:t xml:space="preserve">a system of </w:t>
      </w:r>
      <w:r w:rsidRPr="00FF42F6">
        <w:rPr>
          <w:color w:val="000000" w:themeColor="text1"/>
        </w:rPr>
        <w:t xml:space="preserve">Foundational Supports that work well together. We strongly recommend genuine co-design processes are adopted to develop Foundational Supports with people with </w:t>
      </w:r>
      <w:r w:rsidR="00E3435A">
        <w:rPr>
          <w:color w:val="000000" w:themeColor="text1"/>
        </w:rPr>
        <w:t xml:space="preserve">diverse </w:t>
      </w:r>
      <w:r w:rsidRPr="00FF42F6">
        <w:rPr>
          <w:color w:val="000000" w:themeColor="text1"/>
        </w:rPr>
        <w:t>disabilit</w:t>
      </w:r>
      <w:r w:rsidR="00E3435A">
        <w:rPr>
          <w:color w:val="000000" w:themeColor="text1"/>
        </w:rPr>
        <w:t>ies</w:t>
      </w:r>
      <w:r w:rsidRPr="00FF42F6">
        <w:rPr>
          <w:color w:val="000000" w:themeColor="text1"/>
        </w:rPr>
        <w:t xml:space="preserve"> involved in decision making and the leadership and evaluation of the implementation. </w:t>
      </w:r>
    </w:p>
    <w:p w14:paraId="63B3BA03" w14:textId="1E91C88F" w:rsidR="00FF42F6" w:rsidRPr="00FF42F6" w:rsidRDefault="00FF42F6" w:rsidP="00FF42F6">
      <w:pPr>
        <w:spacing w:after="160"/>
        <w:rPr>
          <w:color w:val="000000" w:themeColor="text1"/>
        </w:rPr>
      </w:pPr>
      <w:r w:rsidRPr="00FF42F6">
        <w:rPr>
          <w:color w:val="000000" w:themeColor="text1"/>
        </w:rPr>
        <w:t xml:space="preserve">Successful Foundational Supports will depend on consistent and adequate long term-funding underpinned by a strategically coherent and public-facing strategy. As the Productivity Commission cautioned in 2017, underfunding these types of supports is a ‘false economy’. Short-term, time-limited grants also overlook the fact </w:t>
      </w:r>
      <w:r w:rsidR="00E3435A">
        <w:rPr>
          <w:color w:val="000000" w:themeColor="text1"/>
        </w:rPr>
        <w:t xml:space="preserve">that making </w:t>
      </w:r>
      <w:r w:rsidRPr="00FF42F6">
        <w:rPr>
          <w:color w:val="000000" w:themeColor="text1"/>
        </w:rPr>
        <w:t xml:space="preserve">this type of impact is often a slow-burn – people do not just show up on the first day. Steps must also be taken to ensure that small local agencies with good capacity </w:t>
      </w:r>
      <w:r w:rsidR="00E3435A">
        <w:rPr>
          <w:color w:val="000000" w:themeColor="text1"/>
        </w:rPr>
        <w:t>and</w:t>
      </w:r>
      <w:r w:rsidRPr="00FF42F6">
        <w:rPr>
          <w:color w:val="000000" w:themeColor="text1"/>
        </w:rPr>
        <w:t xml:space="preserve"> potential to deliver benefits are not excluded by a lack </w:t>
      </w:r>
      <w:r w:rsidR="00E3435A">
        <w:rPr>
          <w:color w:val="000000" w:themeColor="text1"/>
        </w:rPr>
        <w:t xml:space="preserve">of </w:t>
      </w:r>
      <w:r w:rsidRPr="00FF42F6">
        <w:rPr>
          <w:color w:val="000000" w:themeColor="text1"/>
        </w:rPr>
        <w:t>skills to write winning grant applications. Accountability for outcomes should be built into the framework in a way that focus</w:t>
      </w:r>
      <w:r w:rsidR="00E3435A">
        <w:rPr>
          <w:color w:val="000000" w:themeColor="text1"/>
        </w:rPr>
        <w:t>es</w:t>
      </w:r>
      <w:r w:rsidRPr="00FF42F6">
        <w:rPr>
          <w:color w:val="000000" w:themeColor="text1"/>
        </w:rPr>
        <w:t xml:space="preserve"> on delivering benefits without preventing projects and programs to evolve based on early learnings. </w:t>
      </w:r>
    </w:p>
    <w:p w14:paraId="00F3E2C1" w14:textId="75184608" w:rsidR="00FF42F6" w:rsidRPr="00FF42F6" w:rsidRDefault="00FF42F6" w:rsidP="00FF42F6">
      <w:pPr>
        <w:spacing w:after="160"/>
        <w:rPr>
          <w:color w:val="000000" w:themeColor="text1"/>
        </w:rPr>
      </w:pPr>
      <w:r w:rsidRPr="00FF42F6">
        <w:rPr>
          <w:color w:val="000000" w:themeColor="text1"/>
        </w:rPr>
        <w:t xml:space="preserve">We strongly support a focus on peer support networks that offer a very cost-effective way to connect people to information, supports, and each other. Self-advocacy should be included in General Foundational Supports as part of a comprehensive and integrated approach to all types of </w:t>
      </w:r>
      <w:proofErr w:type="gramStart"/>
      <w:r w:rsidRPr="00FF42F6">
        <w:rPr>
          <w:color w:val="000000" w:themeColor="text1"/>
        </w:rPr>
        <w:t>advocacy</w:t>
      </w:r>
      <w:proofErr w:type="gramEnd"/>
      <w:r w:rsidRPr="00FF42F6">
        <w:rPr>
          <w:color w:val="000000" w:themeColor="text1"/>
        </w:rPr>
        <w:t xml:space="preserve"> supports. Likewise, advancing Supported Decision-Making approaches should be a core goal of Foundational Supports. Capacity building supports need </w:t>
      </w:r>
      <w:r w:rsidRPr="00FF42F6">
        <w:rPr>
          <w:color w:val="000000" w:themeColor="text1"/>
        </w:rPr>
        <w:lastRenderedPageBreak/>
        <w:t>to be considered more broadly than only targeting people with disability and, instead, focus on societal change in line with the Social Model of Disability. Information and advice should be provided in a range of accessible formats to meet diverse needs with a focus on ensuring people can easily access in-person services. Although navigation has been explicitly excluded from this consultation, we believe it needs to be a</w:t>
      </w:r>
      <w:r w:rsidR="00E3435A">
        <w:rPr>
          <w:color w:val="000000" w:themeColor="text1"/>
        </w:rPr>
        <w:t>t the</w:t>
      </w:r>
      <w:r w:rsidRPr="00FF42F6">
        <w:rPr>
          <w:color w:val="000000" w:themeColor="text1"/>
        </w:rPr>
        <w:t xml:space="preserve"> core of Foundational Supports and should be prioritised. </w:t>
      </w:r>
      <w:r w:rsidR="00E3435A">
        <w:rPr>
          <w:color w:val="000000" w:themeColor="text1"/>
        </w:rPr>
        <w:t xml:space="preserve">It will be hard to measure the adequacy of other Foundational Supports without improved navigation support in place. </w:t>
      </w:r>
    </w:p>
    <w:p w14:paraId="6E08074B" w14:textId="274EBB8A" w:rsidR="00916D7C" w:rsidRPr="00916D7C" w:rsidRDefault="00FF42F6" w:rsidP="00FF42F6">
      <w:pPr>
        <w:spacing w:after="160"/>
        <w:rPr>
          <w:color w:val="000000" w:themeColor="text1"/>
        </w:rPr>
      </w:pPr>
      <w:r w:rsidRPr="00FF42F6">
        <w:rPr>
          <w:color w:val="000000" w:themeColor="text1"/>
        </w:rPr>
        <w:t xml:space="preserve">More work is required to fully deliver on the commitments in </w:t>
      </w:r>
      <w:r w:rsidRPr="00E3435A">
        <w:rPr>
          <w:i/>
          <w:iCs/>
          <w:color w:val="000000" w:themeColor="text1"/>
        </w:rPr>
        <w:t>Australia’s Disability Strategy 2021-2031</w:t>
      </w:r>
      <w:r w:rsidRPr="00FF42F6">
        <w:rPr>
          <w:color w:val="000000" w:themeColor="text1"/>
        </w:rPr>
        <w:t xml:space="preserve"> because this will maximise access to inclusive mainstream supports and opportunities, thereby making both Foundational Supports and the National Disability Support Scheme (NDIS) more sustainable. Attention should also be given to the urgent need to provide clarity on arrangements for the transition period to ensure that successful existing programs and projects can be transferred to the new framework without losing momentum, funding, staff, and participants.   </w:t>
      </w:r>
    </w:p>
    <w:p w14:paraId="0C24C17A" w14:textId="35FE0B66" w:rsidR="00D75098" w:rsidRPr="008B120B" w:rsidRDefault="00D75098" w:rsidP="00916D7C">
      <w:pPr>
        <w:spacing w:after="160"/>
      </w:pPr>
      <w:r w:rsidRPr="008B120B">
        <w:t>We recommend:</w:t>
      </w:r>
    </w:p>
    <w:p w14:paraId="4E9AD4E8" w14:textId="77777777" w:rsidR="00817CB2" w:rsidRDefault="00817CB2" w:rsidP="00817CB2">
      <w:pPr>
        <w:spacing w:after="160"/>
        <w:rPr>
          <w:b/>
          <w:bCs/>
        </w:rPr>
      </w:pPr>
      <w:r w:rsidRPr="007D179E">
        <w:rPr>
          <w:rStyle w:val="Heading4Char"/>
        </w:rPr>
        <w:t>Recommendation 1:</w:t>
      </w:r>
      <w:r>
        <w:rPr>
          <w:b/>
          <w:bCs/>
          <w:color w:val="7030A0"/>
        </w:rPr>
        <w:t xml:space="preserve"> </w:t>
      </w:r>
      <w:r w:rsidRPr="00125104">
        <w:rPr>
          <w:b/>
          <w:bCs/>
        </w:rPr>
        <w:t xml:space="preserve">The </w:t>
      </w:r>
      <w:r>
        <w:rPr>
          <w:b/>
          <w:bCs/>
        </w:rPr>
        <w:t>Australian Government</w:t>
      </w:r>
      <w:r w:rsidRPr="00125104">
        <w:rPr>
          <w:b/>
          <w:bCs/>
        </w:rPr>
        <w:t xml:space="preserve"> should </w:t>
      </w:r>
      <w:r>
        <w:rPr>
          <w:b/>
          <w:bCs/>
        </w:rPr>
        <w:t>use the Model of Citizenhood Support to inform the design of a coherent and comprehensive national Foundational Supports Strategy and measure its impact based on assessing how supports build the Four Capitals to enhance the life chances of people with disability.</w:t>
      </w:r>
    </w:p>
    <w:p w14:paraId="24E6ADBC" w14:textId="77777777" w:rsidR="00817CB2" w:rsidRPr="003D40AA" w:rsidRDefault="00817CB2" w:rsidP="00817CB2">
      <w:pPr>
        <w:spacing w:after="160"/>
        <w:rPr>
          <w:b/>
          <w:bCs/>
          <w:iCs/>
        </w:rPr>
      </w:pPr>
      <w:r w:rsidRPr="003D40AA">
        <w:rPr>
          <w:rStyle w:val="Heading4Char"/>
        </w:rPr>
        <w:t>Recommendation 2:</w:t>
      </w:r>
      <w:r>
        <w:rPr>
          <w:b/>
          <w:bCs/>
          <w:color w:val="7030A0"/>
        </w:rPr>
        <w:t xml:space="preserve"> </w:t>
      </w:r>
      <w:r>
        <w:rPr>
          <w:b/>
          <w:bCs/>
        </w:rPr>
        <w:t xml:space="preserve">Federal and State and Territory Governments </w:t>
      </w:r>
      <w:r w:rsidRPr="00125104">
        <w:rPr>
          <w:b/>
          <w:bCs/>
        </w:rPr>
        <w:t>should adopt genuine co-design process</w:t>
      </w:r>
      <w:r>
        <w:rPr>
          <w:b/>
          <w:bCs/>
        </w:rPr>
        <w:t>es</w:t>
      </w:r>
      <w:r w:rsidRPr="00125104">
        <w:rPr>
          <w:b/>
          <w:bCs/>
        </w:rPr>
        <w:t xml:space="preserve"> including diverse representation from across Australia’s </w:t>
      </w:r>
      <w:r>
        <w:rPr>
          <w:b/>
          <w:bCs/>
        </w:rPr>
        <w:t>disability</w:t>
      </w:r>
      <w:r w:rsidRPr="00125104">
        <w:rPr>
          <w:b/>
          <w:bCs/>
        </w:rPr>
        <w:t xml:space="preserve"> communities</w:t>
      </w:r>
      <w:r>
        <w:rPr>
          <w:b/>
          <w:bCs/>
        </w:rPr>
        <w:t xml:space="preserve"> to develop Foundational Supports</w:t>
      </w:r>
      <w:r w:rsidRPr="00125104">
        <w:rPr>
          <w:b/>
          <w:bCs/>
        </w:rPr>
        <w:t xml:space="preserve">. </w:t>
      </w:r>
      <w:r>
        <w:rPr>
          <w:b/>
          <w:bCs/>
        </w:rPr>
        <w:t>All co-design processes should be supported by a thorough process design methodology to ensure successful implementation. People with disability</w:t>
      </w:r>
      <w:r w:rsidRPr="00125104">
        <w:rPr>
          <w:b/>
          <w:bCs/>
        </w:rPr>
        <w:t xml:space="preserve"> should </w:t>
      </w:r>
      <w:r>
        <w:rPr>
          <w:b/>
          <w:bCs/>
        </w:rPr>
        <w:t xml:space="preserve">be </w:t>
      </w:r>
      <w:r w:rsidRPr="00125104">
        <w:rPr>
          <w:b/>
          <w:bCs/>
        </w:rPr>
        <w:t xml:space="preserve">central </w:t>
      </w:r>
      <w:r>
        <w:rPr>
          <w:b/>
          <w:bCs/>
        </w:rPr>
        <w:t>to these processes and hold leadership and decision-making roles throughout the development and implementation of a Foundational Supports</w:t>
      </w:r>
      <w:r w:rsidRPr="00125104">
        <w:rPr>
          <w:b/>
          <w:bCs/>
        </w:rPr>
        <w:t xml:space="preserve"> Strategy.</w:t>
      </w:r>
      <w:r>
        <w:rPr>
          <w:b/>
          <w:bCs/>
        </w:rPr>
        <w:t xml:space="preserve"> </w:t>
      </w:r>
    </w:p>
    <w:p w14:paraId="40A3DCE3" w14:textId="77777777" w:rsidR="00817CB2" w:rsidRDefault="00817CB2" w:rsidP="00817CB2">
      <w:pPr>
        <w:spacing w:after="160"/>
        <w:rPr>
          <w:b/>
          <w:bCs/>
        </w:rPr>
      </w:pPr>
      <w:r w:rsidRPr="00FC1642">
        <w:rPr>
          <w:rStyle w:val="Heading4Char"/>
        </w:rPr>
        <w:t>Recommendation 3:</w:t>
      </w:r>
      <w:r>
        <w:rPr>
          <w:b/>
          <w:bCs/>
          <w:color w:val="7030A0"/>
        </w:rPr>
        <w:t xml:space="preserve"> </w:t>
      </w:r>
      <w:r w:rsidRPr="00125104">
        <w:rPr>
          <w:b/>
          <w:bCs/>
        </w:rPr>
        <w:t xml:space="preserve">The </w:t>
      </w:r>
      <w:r>
        <w:rPr>
          <w:b/>
          <w:bCs/>
        </w:rPr>
        <w:t>Australian Government</w:t>
      </w:r>
      <w:r w:rsidRPr="00125104">
        <w:rPr>
          <w:b/>
          <w:bCs/>
        </w:rPr>
        <w:t xml:space="preserve"> should </w:t>
      </w:r>
      <w:r w:rsidRPr="00352981">
        <w:rPr>
          <w:b/>
          <w:bCs/>
        </w:rPr>
        <w:t>e</w:t>
      </w:r>
      <w:r>
        <w:rPr>
          <w:b/>
          <w:bCs/>
        </w:rPr>
        <w:t xml:space="preserve">nsure the Foundational Supports Strategy closely aligns with the principles and intent of </w:t>
      </w:r>
      <w:r w:rsidRPr="002E1B70">
        <w:rPr>
          <w:b/>
          <w:bCs/>
          <w:i/>
          <w:iCs/>
        </w:rPr>
        <w:t>Australia’s Disability Strategy 2021-2031</w:t>
      </w:r>
      <w:r w:rsidRPr="00352981">
        <w:rPr>
          <w:b/>
          <w:bCs/>
        </w:rPr>
        <w:t>.</w:t>
      </w:r>
      <w:r>
        <w:rPr>
          <w:b/>
          <w:bCs/>
        </w:rPr>
        <w:t xml:space="preserve"> To support the success of implementing Foundational Supports, governments </w:t>
      </w:r>
      <w:r>
        <w:rPr>
          <w:b/>
          <w:bCs/>
        </w:rPr>
        <w:lastRenderedPageBreak/>
        <w:t>should renew their focus on, and investment in, delivering the outcomes they have committed to in the Strategy.</w:t>
      </w:r>
    </w:p>
    <w:p w14:paraId="695DD744" w14:textId="77777777" w:rsidR="00817CB2" w:rsidRDefault="00817CB2" w:rsidP="00817CB2">
      <w:pPr>
        <w:spacing w:after="160"/>
        <w:rPr>
          <w:b/>
          <w:bCs/>
        </w:rPr>
      </w:pPr>
      <w:r w:rsidRPr="00161103">
        <w:rPr>
          <w:rStyle w:val="Heading4Char"/>
        </w:rPr>
        <w:t>Recommendation 4:</w:t>
      </w:r>
      <w:r>
        <w:rPr>
          <w:b/>
          <w:bCs/>
          <w:color w:val="7030A0"/>
        </w:rPr>
        <w:t xml:space="preserve"> </w:t>
      </w:r>
      <w:r>
        <w:rPr>
          <w:b/>
          <w:bCs/>
        </w:rPr>
        <w:t xml:space="preserve">Federal and State and Territory Governments should provide an updated response to the recommendations of the </w:t>
      </w:r>
      <w:r w:rsidRPr="004F7415">
        <w:rPr>
          <w:b/>
          <w:bCs/>
        </w:rPr>
        <w:t>Royal Commission into Violence, Abuse, Neglect, and Exploitation of People with Disability</w:t>
      </w:r>
      <w:r>
        <w:rPr>
          <w:b/>
          <w:bCs/>
        </w:rPr>
        <w:t xml:space="preserve"> that appropriately reflects the importance and urgency of the Commission’s work. It should specify how Foundational Supports will align with the recommendations, particularly those of the Commissioners with lived experience of disability to end segregation. </w:t>
      </w:r>
    </w:p>
    <w:p w14:paraId="50182DA2" w14:textId="77777777" w:rsidR="00817CB2" w:rsidRDefault="00817CB2" w:rsidP="00817CB2">
      <w:pPr>
        <w:spacing w:after="160"/>
        <w:rPr>
          <w:b/>
          <w:bCs/>
        </w:rPr>
      </w:pPr>
      <w:r w:rsidRPr="00B607E3">
        <w:rPr>
          <w:rStyle w:val="Heading4Char"/>
        </w:rPr>
        <w:t>Recommendation 5:</w:t>
      </w:r>
      <w:r>
        <w:t xml:space="preserve"> </w:t>
      </w:r>
      <w:r>
        <w:rPr>
          <w:b/>
          <w:bCs/>
        </w:rPr>
        <w:t>Federal and State and Territory Governments</w:t>
      </w:r>
      <w:r w:rsidRPr="00B607E3">
        <w:rPr>
          <w:b/>
          <w:bCs/>
        </w:rPr>
        <w:t xml:space="preserve"> should assess each element of Foundational Supports according to whether it serves to increase inclusion rather than perpetuate segregation. Supports that perpetuate segregation should not be funded.</w:t>
      </w:r>
    </w:p>
    <w:p w14:paraId="4A9B8933" w14:textId="77777777" w:rsidR="00817CB2" w:rsidRDefault="00817CB2" w:rsidP="00817CB2">
      <w:pPr>
        <w:spacing w:after="160"/>
        <w:rPr>
          <w:b/>
          <w:bCs/>
        </w:rPr>
      </w:pPr>
      <w:r w:rsidRPr="00150417">
        <w:rPr>
          <w:rStyle w:val="Heading4Char"/>
        </w:rPr>
        <w:t>Recommendation 6:</w:t>
      </w:r>
      <w:r>
        <w:rPr>
          <w:b/>
          <w:bCs/>
          <w:color w:val="7030A0"/>
        </w:rPr>
        <w:t xml:space="preserve"> </w:t>
      </w:r>
      <w:r>
        <w:rPr>
          <w:b/>
          <w:bCs/>
        </w:rPr>
        <w:t>Federal and State and Territory Governments</w:t>
      </w:r>
      <w:r w:rsidRPr="00125104">
        <w:rPr>
          <w:b/>
          <w:bCs/>
        </w:rPr>
        <w:t xml:space="preserve"> </w:t>
      </w:r>
      <w:r>
        <w:rPr>
          <w:b/>
          <w:bCs/>
        </w:rPr>
        <w:t xml:space="preserve">should ensure all Foundational Supports are provided with adequate secure long-term funding, with supports </w:t>
      </w:r>
      <w:r w:rsidRPr="00B47E4E">
        <w:rPr>
          <w:b/>
          <w:bCs/>
        </w:rPr>
        <w:t>commission</w:t>
      </w:r>
      <w:r>
        <w:rPr>
          <w:b/>
          <w:bCs/>
        </w:rPr>
        <w:t>ed</w:t>
      </w:r>
      <w:r w:rsidRPr="00B47E4E">
        <w:rPr>
          <w:b/>
          <w:bCs/>
        </w:rPr>
        <w:t xml:space="preserve"> </w:t>
      </w:r>
      <w:r>
        <w:rPr>
          <w:b/>
          <w:bCs/>
        </w:rPr>
        <w:t xml:space="preserve">in ways that </w:t>
      </w:r>
      <w:r w:rsidRPr="00B47E4E">
        <w:rPr>
          <w:b/>
          <w:bCs/>
        </w:rPr>
        <w:t>maximise</w:t>
      </w:r>
      <w:r>
        <w:rPr>
          <w:b/>
          <w:bCs/>
        </w:rPr>
        <w:t>s</w:t>
      </w:r>
      <w:r w:rsidRPr="00B47E4E">
        <w:rPr>
          <w:b/>
          <w:bCs/>
        </w:rPr>
        <w:t xml:space="preserve"> </w:t>
      </w:r>
      <w:r>
        <w:rPr>
          <w:b/>
          <w:bCs/>
        </w:rPr>
        <w:t xml:space="preserve">the </w:t>
      </w:r>
      <w:r w:rsidRPr="00B47E4E">
        <w:rPr>
          <w:b/>
          <w:bCs/>
        </w:rPr>
        <w:t>benefits from the skills of local agencies</w:t>
      </w:r>
      <w:r>
        <w:rPr>
          <w:b/>
          <w:bCs/>
        </w:rPr>
        <w:t xml:space="preserve"> as part of a </w:t>
      </w:r>
      <w:r w:rsidRPr="00C83A0E">
        <w:rPr>
          <w:b/>
          <w:bCs/>
        </w:rPr>
        <w:t xml:space="preserve">strategically coherent and public-facing </w:t>
      </w:r>
      <w:r>
        <w:rPr>
          <w:b/>
          <w:bCs/>
        </w:rPr>
        <w:t>Foundational Supports S</w:t>
      </w:r>
      <w:r w:rsidRPr="00C83A0E">
        <w:rPr>
          <w:b/>
          <w:bCs/>
        </w:rPr>
        <w:t>trategy</w:t>
      </w:r>
      <w:r>
        <w:rPr>
          <w:b/>
          <w:bCs/>
        </w:rPr>
        <w:t>.</w:t>
      </w:r>
    </w:p>
    <w:p w14:paraId="7B4C3405" w14:textId="35749FE6" w:rsidR="00817CB2" w:rsidRDefault="00817CB2" w:rsidP="00817CB2">
      <w:pPr>
        <w:spacing w:after="160"/>
        <w:rPr>
          <w:b/>
          <w:bCs/>
        </w:rPr>
      </w:pPr>
      <w:r w:rsidRPr="007D6087">
        <w:rPr>
          <w:rStyle w:val="Heading4Char"/>
        </w:rPr>
        <w:t>Recommendation 7:</w:t>
      </w:r>
      <w:r>
        <w:rPr>
          <w:b/>
          <w:bCs/>
          <w:color w:val="7030A0"/>
        </w:rPr>
        <w:t xml:space="preserve"> </w:t>
      </w:r>
      <w:r w:rsidRPr="00125104">
        <w:rPr>
          <w:b/>
          <w:bCs/>
        </w:rPr>
        <w:t xml:space="preserve">The Department of Social Services (DSS) </w:t>
      </w:r>
      <w:r>
        <w:rPr>
          <w:b/>
          <w:bCs/>
        </w:rPr>
        <w:t xml:space="preserve">should </w:t>
      </w:r>
      <w:r w:rsidRPr="00C30110">
        <w:rPr>
          <w:b/>
          <w:bCs/>
        </w:rPr>
        <w:t xml:space="preserve">replace the NDIS Outcomes Framework with a Disability Support Outcomes Framework, which </w:t>
      </w:r>
      <w:r>
        <w:rPr>
          <w:b/>
          <w:bCs/>
        </w:rPr>
        <w:t>should</w:t>
      </w:r>
      <w:r w:rsidRPr="00C30110">
        <w:rPr>
          <w:b/>
          <w:bCs/>
        </w:rPr>
        <w:t xml:space="preserve"> be genuinely co-design</w:t>
      </w:r>
      <w:r>
        <w:rPr>
          <w:b/>
          <w:bCs/>
        </w:rPr>
        <w:t>ed</w:t>
      </w:r>
      <w:r w:rsidRPr="00C30110">
        <w:rPr>
          <w:b/>
          <w:bCs/>
        </w:rPr>
        <w:t xml:space="preserve"> with people with disability</w:t>
      </w:r>
      <w:r>
        <w:rPr>
          <w:b/>
          <w:bCs/>
        </w:rPr>
        <w:t xml:space="preserve"> and other stakeholders</w:t>
      </w:r>
      <w:r w:rsidRPr="00C30110">
        <w:rPr>
          <w:b/>
          <w:bCs/>
        </w:rPr>
        <w:t xml:space="preserve">. All funded Foundational Supports should </w:t>
      </w:r>
      <w:r>
        <w:rPr>
          <w:b/>
          <w:bCs/>
        </w:rPr>
        <w:t xml:space="preserve">align with the Framework and </w:t>
      </w:r>
      <w:r w:rsidRPr="00C30110">
        <w:rPr>
          <w:b/>
          <w:bCs/>
        </w:rPr>
        <w:t>be accompanied by annual targets. Each year, a comprehensive independent assessment of progress should be conducted with the results publicly reported. A</w:t>
      </w:r>
      <w:r>
        <w:rPr>
          <w:b/>
          <w:bCs/>
        </w:rPr>
        <w:t>dditionally, a</w:t>
      </w:r>
      <w:r w:rsidRPr="00C30110">
        <w:rPr>
          <w:b/>
          <w:bCs/>
        </w:rPr>
        <w:t xml:space="preserve"> comprehensive review of the Disability Support Outcomes Framework should be conducted on a </w:t>
      </w:r>
      <w:r>
        <w:rPr>
          <w:b/>
          <w:bCs/>
        </w:rPr>
        <w:t>five</w:t>
      </w:r>
      <w:r w:rsidRPr="00C30110">
        <w:rPr>
          <w:b/>
          <w:bCs/>
        </w:rPr>
        <w:t>-yearly basis</w:t>
      </w:r>
      <w:r>
        <w:rPr>
          <w:b/>
          <w:bCs/>
        </w:rPr>
        <w:t>.</w:t>
      </w:r>
    </w:p>
    <w:p w14:paraId="4BEB5234" w14:textId="77777777" w:rsidR="00817CB2" w:rsidRDefault="00817CB2" w:rsidP="00817CB2">
      <w:pPr>
        <w:spacing w:after="160"/>
        <w:rPr>
          <w:b/>
          <w:bCs/>
        </w:rPr>
      </w:pPr>
      <w:r w:rsidRPr="00CD5450">
        <w:rPr>
          <w:rStyle w:val="Heading4Char"/>
        </w:rPr>
        <w:t>Recommendation 8:</w:t>
      </w:r>
      <w:r>
        <w:rPr>
          <w:b/>
          <w:bCs/>
          <w:color w:val="7030A0"/>
        </w:rPr>
        <w:t xml:space="preserve"> </w:t>
      </w:r>
      <w:r w:rsidRPr="00125104">
        <w:rPr>
          <w:b/>
          <w:bCs/>
        </w:rPr>
        <w:t xml:space="preserve">The </w:t>
      </w:r>
      <w:r>
        <w:rPr>
          <w:b/>
          <w:bCs/>
        </w:rPr>
        <w:t>Australian Government should embed guiding principles and values in the Foundational Supports Strategy to ensure they are, individually and collectively, purposeful, holistic, consistent, transparent, simple to navigate, accessible, and coherent.</w:t>
      </w:r>
    </w:p>
    <w:p w14:paraId="1DBD6537" w14:textId="77777777" w:rsidR="00817CB2" w:rsidRDefault="00817CB2" w:rsidP="00817CB2">
      <w:pPr>
        <w:spacing w:after="160"/>
        <w:rPr>
          <w:b/>
          <w:bCs/>
        </w:rPr>
      </w:pPr>
      <w:r w:rsidRPr="002765E6">
        <w:rPr>
          <w:rStyle w:val="Heading4Char"/>
        </w:rPr>
        <w:lastRenderedPageBreak/>
        <w:t xml:space="preserve">Recommendation </w:t>
      </w:r>
      <w:r>
        <w:rPr>
          <w:rStyle w:val="Heading4Char"/>
        </w:rPr>
        <w:t>9</w:t>
      </w:r>
      <w:r w:rsidRPr="002765E6">
        <w:rPr>
          <w:rStyle w:val="Heading4Char"/>
        </w:rPr>
        <w:t>:</w:t>
      </w:r>
      <w:r>
        <w:rPr>
          <w:b/>
          <w:bCs/>
          <w:color w:val="7030A0"/>
        </w:rPr>
        <w:t xml:space="preserve"> </w:t>
      </w:r>
      <w:r>
        <w:rPr>
          <w:b/>
          <w:bCs/>
        </w:rPr>
        <w:t>Federal and State and Territory Governments</w:t>
      </w:r>
      <w:r w:rsidRPr="00125104">
        <w:rPr>
          <w:b/>
          <w:bCs/>
        </w:rPr>
        <w:t xml:space="preserve"> </w:t>
      </w:r>
      <w:r>
        <w:rPr>
          <w:b/>
          <w:bCs/>
        </w:rPr>
        <w:t xml:space="preserve">should </w:t>
      </w:r>
      <w:r w:rsidRPr="001E7B23">
        <w:rPr>
          <w:b/>
          <w:bCs/>
        </w:rPr>
        <w:t>rigorously identify workforce shortages and propose actions to solve these, such as by addressing casualisation and building the peer workforce</w:t>
      </w:r>
      <w:r>
        <w:rPr>
          <w:b/>
          <w:bCs/>
        </w:rPr>
        <w:t>, to ensure Foundational Supports can meet demand for supports from day one of their operation. They should also invest in initiatives to build the quality of the workforce.</w:t>
      </w:r>
    </w:p>
    <w:p w14:paraId="05E0BE09" w14:textId="77777777" w:rsidR="00817CB2" w:rsidRDefault="00817CB2" w:rsidP="00817CB2">
      <w:pPr>
        <w:spacing w:after="160"/>
      </w:pPr>
      <w:r w:rsidRPr="007C5120">
        <w:rPr>
          <w:rStyle w:val="Heading4Char"/>
        </w:rPr>
        <w:t>Recommendation 10:</w:t>
      </w:r>
      <w:r>
        <w:rPr>
          <w:b/>
          <w:bCs/>
          <w:color w:val="7030A0"/>
        </w:rPr>
        <w:t xml:space="preserve"> </w:t>
      </w:r>
      <w:r w:rsidRPr="00125104">
        <w:rPr>
          <w:b/>
          <w:bCs/>
        </w:rPr>
        <w:t xml:space="preserve">The </w:t>
      </w:r>
      <w:r>
        <w:rPr>
          <w:b/>
          <w:bCs/>
        </w:rPr>
        <w:t>Australian Government</w:t>
      </w:r>
      <w:r w:rsidRPr="00125104">
        <w:rPr>
          <w:b/>
          <w:bCs/>
        </w:rPr>
        <w:t xml:space="preserve"> should </w:t>
      </w:r>
      <w:r>
        <w:rPr>
          <w:b/>
          <w:bCs/>
        </w:rPr>
        <w:t xml:space="preserve">embed the establishment of Communities of Practice in the Foundational Supports Strategy. As part of this, it should </w:t>
      </w:r>
      <w:r w:rsidRPr="00352981">
        <w:rPr>
          <w:b/>
        </w:rPr>
        <w:t xml:space="preserve">explore how </w:t>
      </w:r>
      <w:r>
        <w:rPr>
          <w:b/>
        </w:rPr>
        <w:t>entities delivering</w:t>
      </w:r>
      <w:r w:rsidRPr="00352981">
        <w:rPr>
          <w:b/>
        </w:rPr>
        <w:t xml:space="preserve"> Foundational Supports could be connected </w:t>
      </w:r>
      <w:r>
        <w:rPr>
          <w:b/>
        </w:rPr>
        <w:t xml:space="preserve">to each other, for example, </w:t>
      </w:r>
      <w:r w:rsidRPr="00352981">
        <w:rPr>
          <w:b/>
        </w:rPr>
        <w:t>according to specific geographic area</w:t>
      </w:r>
      <w:r>
        <w:rPr>
          <w:b/>
        </w:rPr>
        <w:t>,</w:t>
      </w:r>
      <w:r w:rsidRPr="00352981">
        <w:rPr>
          <w:b/>
        </w:rPr>
        <w:t xml:space="preserve"> similarities in programs being offered</w:t>
      </w:r>
      <w:r>
        <w:rPr>
          <w:b/>
        </w:rPr>
        <w:t>,</w:t>
      </w:r>
      <w:r w:rsidRPr="00352981">
        <w:rPr>
          <w:b/>
        </w:rPr>
        <w:t xml:space="preserve"> similarities in target cohorts</w:t>
      </w:r>
      <w:r>
        <w:rPr>
          <w:b/>
        </w:rPr>
        <w:t>,</w:t>
      </w:r>
      <w:r w:rsidRPr="00352981">
        <w:rPr>
          <w:b/>
        </w:rPr>
        <w:t xml:space="preserve"> or other shared characteristics.</w:t>
      </w:r>
      <w:r w:rsidRPr="00FE51BF">
        <w:t xml:space="preserve"> </w:t>
      </w:r>
    </w:p>
    <w:p w14:paraId="19E70496" w14:textId="77777777" w:rsidR="00817CB2" w:rsidRDefault="00817CB2" w:rsidP="00817CB2">
      <w:pPr>
        <w:spacing w:after="160"/>
        <w:rPr>
          <w:b/>
          <w:bCs/>
        </w:rPr>
      </w:pPr>
      <w:r w:rsidRPr="005B3BDC">
        <w:rPr>
          <w:rStyle w:val="Heading4Char"/>
        </w:rPr>
        <w:t>Recommendation 11:</w:t>
      </w:r>
      <w:r>
        <w:rPr>
          <w:b/>
          <w:bCs/>
          <w:color w:val="7030A0"/>
        </w:rPr>
        <w:t xml:space="preserve"> </w:t>
      </w:r>
      <w:r w:rsidRPr="00125104">
        <w:rPr>
          <w:b/>
          <w:bCs/>
        </w:rPr>
        <w:t xml:space="preserve">The </w:t>
      </w:r>
      <w:r>
        <w:rPr>
          <w:b/>
          <w:bCs/>
        </w:rPr>
        <w:t>Australian Government</w:t>
      </w:r>
      <w:r w:rsidRPr="00125104">
        <w:rPr>
          <w:b/>
          <w:bCs/>
        </w:rPr>
        <w:t xml:space="preserve"> </w:t>
      </w:r>
      <w:r>
        <w:rPr>
          <w:b/>
          <w:bCs/>
        </w:rPr>
        <w:t>should</w:t>
      </w:r>
      <w:r w:rsidRPr="00403612">
        <w:rPr>
          <w:b/>
          <w:bCs/>
        </w:rPr>
        <w:t xml:space="preserve"> provide a clear </w:t>
      </w:r>
      <w:r>
        <w:rPr>
          <w:b/>
          <w:bCs/>
        </w:rPr>
        <w:t xml:space="preserve">realistic </w:t>
      </w:r>
      <w:r w:rsidRPr="00403612">
        <w:rPr>
          <w:b/>
          <w:bCs/>
        </w:rPr>
        <w:t>timeline for the rollout of the Foundational Support</w:t>
      </w:r>
      <w:r>
        <w:rPr>
          <w:b/>
          <w:bCs/>
        </w:rPr>
        <w:t>s</w:t>
      </w:r>
      <w:r w:rsidRPr="00403612">
        <w:rPr>
          <w:b/>
          <w:bCs/>
        </w:rPr>
        <w:t xml:space="preserve"> program</w:t>
      </w:r>
      <w:r>
        <w:rPr>
          <w:b/>
          <w:bCs/>
        </w:rPr>
        <w:t xml:space="preserve"> and commit bridging funding to existing projects and supports as soon as possible to avoid undermining their ongoing success or leaving people without the support they rely on.</w:t>
      </w:r>
    </w:p>
    <w:p w14:paraId="4EA7B380" w14:textId="77777777" w:rsidR="00817CB2" w:rsidRDefault="00817CB2" w:rsidP="00817CB2">
      <w:pPr>
        <w:spacing w:after="160"/>
        <w:rPr>
          <w:b/>
          <w:bCs/>
        </w:rPr>
      </w:pPr>
      <w:r w:rsidRPr="005B3BDC">
        <w:rPr>
          <w:rStyle w:val="Heading4Char"/>
        </w:rPr>
        <w:t>Recommendation 1</w:t>
      </w:r>
      <w:r>
        <w:rPr>
          <w:rStyle w:val="Heading4Char"/>
        </w:rPr>
        <w:t>2</w:t>
      </w:r>
      <w:r w:rsidRPr="005B3BDC">
        <w:rPr>
          <w:rStyle w:val="Heading4Char"/>
        </w:rPr>
        <w:t>:</w:t>
      </w:r>
      <w:r>
        <w:rPr>
          <w:b/>
          <w:bCs/>
          <w:color w:val="7030A0"/>
        </w:rPr>
        <w:t xml:space="preserve"> </w:t>
      </w:r>
      <w:r w:rsidRPr="00125104">
        <w:rPr>
          <w:b/>
          <w:bCs/>
        </w:rPr>
        <w:t xml:space="preserve">The </w:t>
      </w:r>
      <w:r>
        <w:rPr>
          <w:b/>
          <w:bCs/>
        </w:rPr>
        <w:t>Australian Government</w:t>
      </w:r>
      <w:r w:rsidRPr="00125104">
        <w:rPr>
          <w:b/>
          <w:bCs/>
        </w:rPr>
        <w:t xml:space="preserve"> </w:t>
      </w:r>
      <w:r>
        <w:rPr>
          <w:b/>
          <w:bCs/>
        </w:rPr>
        <w:t xml:space="preserve">should include a transparent transition plan for existing projects and supports within the Foundational Supports Strategy. It should clearly identify which projects and supports will transfer and ensure the replacement arrangements are established before existing programs are curtailed </w:t>
      </w:r>
      <w:proofErr w:type="gramStart"/>
      <w:r>
        <w:rPr>
          <w:b/>
          <w:bCs/>
        </w:rPr>
        <w:t>in order to</w:t>
      </w:r>
      <w:proofErr w:type="gramEnd"/>
      <w:r>
        <w:rPr>
          <w:b/>
          <w:bCs/>
        </w:rPr>
        <w:t xml:space="preserve"> provide continuity of support for the people with disability accessing them, as well as to prevent any loss of momentum within the projects themselves. </w:t>
      </w:r>
    </w:p>
    <w:p w14:paraId="129E1A82" w14:textId="77777777" w:rsidR="00817CB2" w:rsidRDefault="00817CB2" w:rsidP="00817CB2">
      <w:pPr>
        <w:spacing w:after="160"/>
        <w:rPr>
          <w:b/>
          <w:bCs/>
        </w:rPr>
      </w:pPr>
      <w:r w:rsidRPr="005B3BDC">
        <w:rPr>
          <w:rStyle w:val="Heading4Char"/>
        </w:rPr>
        <w:t>Recommendation 1</w:t>
      </w:r>
      <w:r>
        <w:rPr>
          <w:rStyle w:val="Heading4Char"/>
        </w:rPr>
        <w:t>3</w:t>
      </w:r>
      <w:r w:rsidRPr="005B3BDC">
        <w:rPr>
          <w:rStyle w:val="Heading4Char"/>
        </w:rPr>
        <w:t>:</w:t>
      </w:r>
      <w:r>
        <w:rPr>
          <w:b/>
          <w:bCs/>
          <w:color w:val="7030A0"/>
        </w:rPr>
        <w:t xml:space="preserve"> </w:t>
      </w:r>
      <w:r w:rsidRPr="00125104">
        <w:rPr>
          <w:b/>
          <w:bCs/>
        </w:rPr>
        <w:t xml:space="preserve">The </w:t>
      </w:r>
      <w:r>
        <w:rPr>
          <w:b/>
          <w:bCs/>
        </w:rPr>
        <w:t>Australian Government</w:t>
      </w:r>
      <w:r w:rsidRPr="00125104">
        <w:rPr>
          <w:b/>
          <w:bCs/>
        </w:rPr>
        <w:t xml:space="preserve"> </w:t>
      </w:r>
      <w:r>
        <w:rPr>
          <w:b/>
          <w:bCs/>
        </w:rPr>
        <w:t>should recognise the value of peer support networks for people with disability and embed long-term funding to support their operations within the Foundational Supports Strategy as a separate dedicated stream from other types of capacity building initiatives.</w:t>
      </w:r>
    </w:p>
    <w:p w14:paraId="566B9B02" w14:textId="77777777" w:rsidR="00817CB2" w:rsidRPr="004500E1" w:rsidRDefault="00817CB2" w:rsidP="00817CB2">
      <w:pPr>
        <w:spacing w:after="160"/>
        <w:rPr>
          <w:b/>
        </w:rPr>
      </w:pPr>
      <w:r w:rsidRPr="00CA2A2F">
        <w:rPr>
          <w:rStyle w:val="Heading4Char"/>
        </w:rPr>
        <w:t>Recommendation 14:</w:t>
      </w:r>
      <w:r>
        <w:rPr>
          <w:b/>
          <w:bCs/>
          <w:color w:val="7030A0"/>
        </w:rPr>
        <w:t xml:space="preserve"> </w:t>
      </w:r>
      <w:r w:rsidRPr="00125104">
        <w:rPr>
          <w:b/>
          <w:bCs/>
        </w:rPr>
        <w:t xml:space="preserve">The </w:t>
      </w:r>
      <w:r>
        <w:rPr>
          <w:b/>
          <w:bCs/>
        </w:rPr>
        <w:t>Australian Government</w:t>
      </w:r>
      <w:r w:rsidRPr="00125104">
        <w:rPr>
          <w:b/>
          <w:bCs/>
        </w:rPr>
        <w:t xml:space="preserve"> </w:t>
      </w:r>
      <w:r>
        <w:rPr>
          <w:b/>
          <w:bCs/>
        </w:rPr>
        <w:t>should</w:t>
      </w:r>
      <w:r w:rsidRPr="00403612">
        <w:rPr>
          <w:b/>
          <w:bCs/>
        </w:rPr>
        <w:t xml:space="preserve"> </w:t>
      </w:r>
      <w:r>
        <w:rPr>
          <w:b/>
          <w:bCs/>
        </w:rPr>
        <w:t xml:space="preserve">ensure the Foundational Supports Strategy clearly articulates the critical importance of shared federal and state and territory funding for independent disability advocacy services and supports across all forms of advocacy: self-advocacy, professional individual advocacy services, representative and peer group advocacy, and systemic advocacy. This should align with and complement work regarding existing advocacy funding programs, including the </w:t>
      </w:r>
      <w:r>
        <w:rPr>
          <w:b/>
          <w:bCs/>
        </w:rPr>
        <w:lastRenderedPageBreak/>
        <w:t>National Disability Advocacy Framework, as well as ensuring State Governments adequately fulfil their existing funding responsibilities</w:t>
      </w:r>
      <w:r w:rsidRPr="00403612">
        <w:rPr>
          <w:b/>
          <w:bCs/>
        </w:rPr>
        <w:t>.</w:t>
      </w:r>
      <w:r>
        <w:rPr>
          <w:b/>
          <w:bCs/>
        </w:rPr>
        <w:t xml:space="preserve"> </w:t>
      </w:r>
    </w:p>
    <w:p w14:paraId="792674E3" w14:textId="77777777" w:rsidR="00817CB2" w:rsidRDefault="00817CB2" w:rsidP="00817CB2">
      <w:pPr>
        <w:spacing w:after="160"/>
        <w:rPr>
          <w:b/>
          <w:bCs/>
        </w:rPr>
      </w:pPr>
      <w:r w:rsidRPr="004D62C0">
        <w:rPr>
          <w:rStyle w:val="Heading4Char"/>
        </w:rPr>
        <w:t>Recommendation 15:</w:t>
      </w:r>
      <w:r>
        <w:rPr>
          <w:b/>
          <w:bCs/>
          <w:color w:val="7030A0"/>
        </w:rPr>
        <w:t xml:space="preserve"> </w:t>
      </w:r>
      <w:r>
        <w:rPr>
          <w:b/>
          <w:bCs/>
        </w:rPr>
        <w:t>Federal and State and Territory Governments</w:t>
      </w:r>
      <w:r w:rsidRPr="00125104">
        <w:rPr>
          <w:b/>
          <w:bCs/>
        </w:rPr>
        <w:t xml:space="preserve"> </w:t>
      </w:r>
      <w:r>
        <w:rPr>
          <w:b/>
          <w:bCs/>
        </w:rPr>
        <w:t>should fund Foundational Supports initiatives to build the skills and confidence of people with disability to engage in self-advocacy regarding issues that affect their lives.</w:t>
      </w:r>
    </w:p>
    <w:p w14:paraId="535F2E83" w14:textId="77777777" w:rsidR="00817CB2" w:rsidRDefault="00817CB2" w:rsidP="00817CB2">
      <w:pPr>
        <w:spacing w:after="160"/>
        <w:rPr>
          <w:b/>
          <w:bCs/>
        </w:rPr>
      </w:pPr>
      <w:r w:rsidRPr="0088511F">
        <w:rPr>
          <w:rStyle w:val="Heading4Char"/>
        </w:rPr>
        <w:t>Recommendation 1</w:t>
      </w:r>
      <w:r>
        <w:rPr>
          <w:rStyle w:val="Heading4Char"/>
        </w:rPr>
        <w:t>6:</w:t>
      </w:r>
      <w:r w:rsidRPr="0088511F">
        <w:rPr>
          <w:rStyle w:val="Heading4Char"/>
        </w:rPr>
        <w:t xml:space="preserve"> </w:t>
      </w:r>
      <w:r>
        <w:rPr>
          <w:b/>
          <w:bCs/>
        </w:rPr>
        <w:t>Federal and State and Territory Governments</w:t>
      </w:r>
      <w:r w:rsidRPr="00125104">
        <w:rPr>
          <w:b/>
          <w:bCs/>
        </w:rPr>
        <w:t xml:space="preserve"> </w:t>
      </w:r>
      <w:r>
        <w:rPr>
          <w:b/>
          <w:bCs/>
        </w:rPr>
        <w:t>should ensure the Foundational Supports Strategy establishes a pathway to embed Supported Decision-Making approaches in all elements of disability supports and guardianship arrangements.</w:t>
      </w:r>
    </w:p>
    <w:p w14:paraId="05882FC9" w14:textId="77777777" w:rsidR="00817CB2" w:rsidRDefault="00817CB2" w:rsidP="00817CB2">
      <w:pPr>
        <w:spacing w:after="160"/>
        <w:rPr>
          <w:b/>
          <w:bCs/>
        </w:rPr>
      </w:pPr>
      <w:r w:rsidRPr="00D32B70">
        <w:rPr>
          <w:rStyle w:val="Heading4Char"/>
        </w:rPr>
        <w:t>Recommendation 1</w:t>
      </w:r>
      <w:r>
        <w:rPr>
          <w:rStyle w:val="Heading4Char"/>
        </w:rPr>
        <w:t>7</w:t>
      </w:r>
      <w:r w:rsidRPr="00D32B70">
        <w:rPr>
          <w:rStyle w:val="Heading4Char"/>
        </w:rPr>
        <w:t xml:space="preserve">: </w:t>
      </w:r>
      <w:r w:rsidRPr="00125104">
        <w:rPr>
          <w:b/>
          <w:bCs/>
        </w:rPr>
        <w:t xml:space="preserve">The </w:t>
      </w:r>
      <w:r>
        <w:rPr>
          <w:b/>
          <w:bCs/>
        </w:rPr>
        <w:t>Australian Government</w:t>
      </w:r>
      <w:r w:rsidRPr="00125104">
        <w:rPr>
          <w:b/>
          <w:bCs/>
        </w:rPr>
        <w:t xml:space="preserve"> </w:t>
      </w:r>
      <w:r>
        <w:rPr>
          <w:b/>
          <w:bCs/>
        </w:rPr>
        <w:t>should ensure the design of capacity building supports within the Foundational Supports Strategy aligns with the Social Model of Disability and does not perpetuate the Medical Model or focus all the attention on changing people with disability rather than society. It can do so by ensuring there is:</w:t>
      </w:r>
    </w:p>
    <w:p w14:paraId="549DDD7A" w14:textId="77777777" w:rsidR="00817CB2" w:rsidRDefault="00817CB2" w:rsidP="00817CB2">
      <w:pPr>
        <w:pStyle w:val="ListParagraph"/>
        <w:numPr>
          <w:ilvl w:val="0"/>
          <w:numId w:val="17"/>
        </w:numPr>
        <w:spacing w:after="160"/>
        <w:contextualSpacing w:val="0"/>
        <w:rPr>
          <w:b/>
          <w:bCs/>
        </w:rPr>
      </w:pPr>
      <w:r>
        <w:rPr>
          <w:b/>
        </w:rPr>
        <w:t>A</w:t>
      </w:r>
      <w:r w:rsidRPr="005B2757">
        <w:rPr>
          <w:b/>
        </w:rPr>
        <w:t xml:space="preserve">n emphasis on building the capacity of the broader community to be accessible and inclusive of all their members. This would include better educating governments, government departments and agencies, local governments, service providers, businesses, employers, schools, universities, community organisations, and the </w:t>
      </w:r>
      <w:proofErr w:type="gramStart"/>
      <w:r w:rsidRPr="005B2757">
        <w:rPr>
          <w:b/>
        </w:rPr>
        <w:t>general public</w:t>
      </w:r>
      <w:proofErr w:type="gramEnd"/>
      <w:r>
        <w:rPr>
          <w:b/>
        </w:rPr>
        <w:t xml:space="preserve"> about genuine inclusion. </w:t>
      </w:r>
    </w:p>
    <w:p w14:paraId="474678A5" w14:textId="77777777" w:rsidR="00817CB2" w:rsidRPr="00E3435A" w:rsidRDefault="00817CB2" w:rsidP="00E3435A">
      <w:pPr>
        <w:pStyle w:val="ListParagraph"/>
        <w:numPr>
          <w:ilvl w:val="0"/>
          <w:numId w:val="19"/>
        </w:numPr>
        <w:spacing w:after="160"/>
        <w:rPr>
          <w:b/>
          <w:bCs/>
        </w:rPr>
      </w:pPr>
      <w:r w:rsidRPr="00E3435A">
        <w:rPr>
          <w:b/>
          <w:bCs/>
        </w:rPr>
        <w:t>Providing capacity building for people with disability and their families that focuses on unlearning low expectations, building a strong vision of active valued membership in community life, and personal and family leadership.</w:t>
      </w:r>
    </w:p>
    <w:p w14:paraId="758F3E49" w14:textId="77777777" w:rsidR="00817CB2" w:rsidRDefault="00817CB2" w:rsidP="00817CB2">
      <w:pPr>
        <w:spacing w:after="160"/>
        <w:rPr>
          <w:b/>
          <w:bCs/>
        </w:rPr>
      </w:pPr>
      <w:r w:rsidRPr="0068009F">
        <w:rPr>
          <w:rStyle w:val="Heading4Char"/>
        </w:rPr>
        <w:t>Recommendation 18:</w:t>
      </w:r>
      <w:r>
        <w:rPr>
          <w:b/>
          <w:bCs/>
          <w:color w:val="7030A0"/>
        </w:rPr>
        <w:t xml:space="preserve"> </w:t>
      </w:r>
      <w:r w:rsidRPr="00125104">
        <w:rPr>
          <w:b/>
          <w:bCs/>
        </w:rPr>
        <w:t xml:space="preserve">The </w:t>
      </w:r>
      <w:r>
        <w:rPr>
          <w:b/>
          <w:bCs/>
        </w:rPr>
        <w:t>Australian Government</w:t>
      </w:r>
      <w:r w:rsidRPr="00125104">
        <w:rPr>
          <w:b/>
          <w:bCs/>
        </w:rPr>
        <w:t xml:space="preserve"> </w:t>
      </w:r>
      <w:r>
        <w:rPr>
          <w:b/>
          <w:bCs/>
        </w:rPr>
        <w:t>should ensure the Foundational Supports Strategy includes support for the economic participation of people with disability, recognising that this is an integral part of belonging and participating in one’s local community. Community capacity building should extend beyond ‘community organisations and non-government groups’ to include all entities that can positively impact on employment outcomes for people with disability, such as schools, universities, employment service providers, employers, all tiers of government, and others.</w:t>
      </w:r>
    </w:p>
    <w:p w14:paraId="13556963" w14:textId="77777777" w:rsidR="00817CB2" w:rsidRDefault="00817CB2" w:rsidP="00817CB2">
      <w:pPr>
        <w:spacing w:after="160"/>
      </w:pPr>
      <w:r w:rsidRPr="0085000C">
        <w:rPr>
          <w:rStyle w:val="Heading4Char"/>
        </w:rPr>
        <w:lastRenderedPageBreak/>
        <w:t>Recommendation 1</w:t>
      </w:r>
      <w:r>
        <w:rPr>
          <w:rStyle w:val="Heading4Char"/>
        </w:rPr>
        <w:t>9</w:t>
      </w:r>
      <w:r w:rsidRPr="0085000C">
        <w:rPr>
          <w:rStyle w:val="Heading4Char"/>
        </w:rPr>
        <w:t>:</w:t>
      </w:r>
      <w:r>
        <w:rPr>
          <w:b/>
          <w:bCs/>
          <w:color w:val="7030A0"/>
        </w:rPr>
        <w:t xml:space="preserve"> </w:t>
      </w:r>
      <w:r w:rsidRPr="00125104">
        <w:rPr>
          <w:b/>
          <w:bCs/>
        </w:rPr>
        <w:t xml:space="preserve">The </w:t>
      </w:r>
      <w:r>
        <w:rPr>
          <w:b/>
          <w:bCs/>
        </w:rPr>
        <w:t>Australian Government</w:t>
      </w:r>
      <w:r w:rsidRPr="00125104">
        <w:rPr>
          <w:b/>
          <w:bCs/>
        </w:rPr>
        <w:t xml:space="preserve"> </w:t>
      </w:r>
      <w:r>
        <w:rPr>
          <w:b/>
          <w:bCs/>
        </w:rPr>
        <w:t>should ensure the Foundational Supports Strategy includes measures to support people with disability to enter and sustain employment in the public sector.</w:t>
      </w:r>
    </w:p>
    <w:p w14:paraId="4EB8BFF9" w14:textId="77777777" w:rsidR="00817CB2" w:rsidRDefault="00817CB2" w:rsidP="00817CB2">
      <w:pPr>
        <w:spacing w:after="160"/>
        <w:rPr>
          <w:b/>
        </w:rPr>
      </w:pPr>
      <w:r w:rsidRPr="00FE5BA8">
        <w:rPr>
          <w:rStyle w:val="Heading4Char"/>
        </w:rPr>
        <w:t xml:space="preserve">Recommendation </w:t>
      </w:r>
      <w:r>
        <w:rPr>
          <w:rStyle w:val="Heading4Char"/>
        </w:rPr>
        <w:t>20</w:t>
      </w:r>
      <w:r w:rsidRPr="00FE5BA8">
        <w:rPr>
          <w:rStyle w:val="Heading4Char"/>
        </w:rPr>
        <w:t>:</w:t>
      </w:r>
      <w:r>
        <w:rPr>
          <w:b/>
          <w:bCs/>
          <w:color w:val="7030A0"/>
        </w:rPr>
        <w:t xml:space="preserve"> </w:t>
      </w:r>
      <w:r w:rsidRPr="00125104">
        <w:rPr>
          <w:b/>
          <w:bCs/>
        </w:rPr>
        <w:t xml:space="preserve">The Department of Social Services (DSS) </w:t>
      </w:r>
      <w:r>
        <w:rPr>
          <w:b/>
          <w:bCs/>
        </w:rPr>
        <w:t>should ensure any central digital information hub is genuinely co-designed by a diversity of representatives from the disability community to ensure it is fully accessible and inclusive. Resources should be allocated to building awareness about where people can access clear information.</w:t>
      </w:r>
    </w:p>
    <w:p w14:paraId="20A99876" w14:textId="77777777" w:rsidR="00817CB2" w:rsidRDefault="00817CB2" w:rsidP="00817CB2">
      <w:pPr>
        <w:spacing w:after="160"/>
        <w:rPr>
          <w:b/>
          <w:bCs/>
        </w:rPr>
      </w:pPr>
      <w:r w:rsidRPr="00FE5BA8">
        <w:rPr>
          <w:rStyle w:val="Heading4Char"/>
        </w:rPr>
        <w:t xml:space="preserve">Recommendation </w:t>
      </w:r>
      <w:r>
        <w:rPr>
          <w:rStyle w:val="Heading4Char"/>
        </w:rPr>
        <w:t>21</w:t>
      </w:r>
      <w:r w:rsidRPr="00FE5BA8">
        <w:rPr>
          <w:rStyle w:val="Heading4Char"/>
        </w:rPr>
        <w:t>:</w:t>
      </w:r>
      <w:r>
        <w:rPr>
          <w:b/>
          <w:bCs/>
          <w:color w:val="7030A0"/>
        </w:rPr>
        <w:t xml:space="preserve"> </w:t>
      </w:r>
      <w:r w:rsidRPr="00125104">
        <w:rPr>
          <w:b/>
          <w:bCs/>
        </w:rPr>
        <w:t xml:space="preserve">The Department of Social Services (DSS) </w:t>
      </w:r>
      <w:r>
        <w:rPr>
          <w:b/>
          <w:bCs/>
        </w:rPr>
        <w:t>should ensure appropriately funded, fully inclusive, and accessible in-person alternatives to digital information hubs are available to ensure people with digital literacy support needs or no internet access are not denied timely and accurate information.</w:t>
      </w:r>
    </w:p>
    <w:p w14:paraId="254ABB03" w14:textId="77777777" w:rsidR="00817CB2" w:rsidRDefault="00817CB2" w:rsidP="00817CB2">
      <w:pPr>
        <w:spacing w:after="160"/>
        <w:rPr>
          <w:b/>
          <w:bCs/>
        </w:rPr>
      </w:pPr>
      <w:r w:rsidRPr="00FE5BA8">
        <w:rPr>
          <w:rStyle w:val="Heading4Char"/>
        </w:rPr>
        <w:t xml:space="preserve">Recommendation </w:t>
      </w:r>
      <w:r>
        <w:rPr>
          <w:rStyle w:val="Heading4Char"/>
        </w:rPr>
        <w:t>22</w:t>
      </w:r>
      <w:r w:rsidRPr="00FE5BA8">
        <w:rPr>
          <w:rStyle w:val="Heading4Char"/>
        </w:rPr>
        <w:t>:</w:t>
      </w:r>
      <w:r>
        <w:rPr>
          <w:b/>
          <w:bCs/>
          <w:color w:val="7030A0"/>
        </w:rPr>
        <w:t xml:space="preserve"> </w:t>
      </w:r>
      <w:r>
        <w:rPr>
          <w:b/>
          <w:bCs/>
        </w:rPr>
        <w:t>Federal and State and Territory Governments should review and reform their unnecessarily complex bureaucratic systems and programs to make them fit for purpose and easy for people to access and navigate, thereby reducing reliance on information, advice, advocacy, and capacity building supports.</w:t>
      </w:r>
    </w:p>
    <w:p w14:paraId="3EF53B41" w14:textId="77777777" w:rsidR="00817CB2" w:rsidRDefault="00817CB2" w:rsidP="00817CB2">
      <w:pPr>
        <w:spacing w:after="160"/>
        <w:rPr>
          <w:b/>
          <w:bCs/>
        </w:rPr>
      </w:pPr>
      <w:r w:rsidRPr="005A164B">
        <w:rPr>
          <w:rStyle w:val="Heading4Char"/>
        </w:rPr>
        <w:t>Recommendation 23:</w:t>
      </w:r>
      <w:r>
        <w:rPr>
          <w:b/>
          <w:bCs/>
          <w:color w:val="7030A0"/>
        </w:rPr>
        <w:t xml:space="preserve"> </w:t>
      </w:r>
      <w:r>
        <w:rPr>
          <w:b/>
          <w:bCs/>
        </w:rPr>
        <w:t>Federal and State Governments</w:t>
      </w:r>
      <w:r w:rsidRPr="00125104">
        <w:rPr>
          <w:b/>
          <w:bCs/>
        </w:rPr>
        <w:t xml:space="preserve"> </w:t>
      </w:r>
      <w:r>
        <w:rPr>
          <w:b/>
          <w:bCs/>
        </w:rPr>
        <w:t>should engage in genuine co-design processes when designing any Foundational Supports intake processes or online portals to minimise complexity and ensure they are fully inclusive and accessible.</w:t>
      </w:r>
    </w:p>
    <w:p w14:paraId="298B78D9" w14:textId="2E8C81B0" w:rsidR="00D75098" w:rsidRPr="008B120B" w:rsidRDefault="00817CB2" w:rsidP="00E3435A">
      <w:pPr>
        <w:spacing w:after="160"/>
      </w:pPr>
      <w:r w:rsidRPr="00FE5BA8">
        <w:rPr>
          <w:rStyle w:val="Heading4Char"/>
        </w:rPr>
        <w:t xml:space="preserve">Recommendation </w:t>
      </w:r>
      <w:r>
        <w:rPr>
          <w:rStyle w:val="Heading4Char"/>
        </w:rPr>
        <w:t>24</w:t>
      </w:r>
      <w:r w:rsidRPr="00FE5BA8">
        <w:rPr>
          <w:rStyle w:val="Heading4Char"/>
        </w:rPr>
        <w:t>:</w:t>
      </w:r>
      <w:r>
        <w:rPr>
          <w:b/>
          <w:bCs/>
          <w:color w:val="7030A0"/>
        </w:rPr>
        <w:t xml:space="preserve"> </w:t>
      </w:r>
      <w:r w:rsidRPr="00125104">
        <w:rPr>
          <w:b/>
          <w:bCs/>
        </w:rPr>
        <w:t xml:space="preserve">The </w:t>
      </w:r>
      <w:r>
        <w:rPr>
          <w:b/>
          <w:bCs/>
        </w:rPr>
        <w:t>Australian Government</w:t>
      </w:r>
      <w:r w:rsidRPr="00125104">
        <w:rPr>
          <w:b/>
          <w:bCs/>
        </w:rPr>
        <w:t xml:space="preserve"> </w:t>
      </w:r>
      <w:r>
        <w:rPr>
          <w:b/>
          <w:bCs/>
        </w:rPr>
        <w:t xml:space="preserve">should place co-designing a new model for navigational supports at the forefront of developing Foundational Supports. It should prioritise piloting a navigation model that leverages the local knowledge and connections of grassroots organisations embedded in their communities </w:t>
      </w:r>
      <w:proofErr w:type="gramStart"/>
      <w:r>
        <w:rPr>
          <w:b/>
          <w:bCs/>
        </w:rPr>
        <w:t>in order to</w:t>
      </w:r>
      <w:proofErr w:type="gramEnd"/>
      <w:r>
        <w:rPr>
          <w:b/>
          <w:bCs/>
        </w:rPr>
        <w:t xml:space="preserve"> gather data, finetune details, and lay the groundwork for scaling </w:t>
      </w:r>
      <w:r w:rsidRPr="00E22BD8">
        <w:rPr>
          <w:b/>
          <w:bCs/>
        </w:rPr>
        <w:t>up. Critically, the person with disability should be able to choose a navigator who is right for them. The</w:t>
      </w:r>
      <w:r w:rsidRPr="00DC2365">
        <w:rPr>
          <w:b/>
          <w:bCs/>
        </w:rPr>
        <w:t xml:space="preserve"> roll out of a new model should then be accompanied by strong accountability and evaluation mechanisms that ensure proper measurement of impact and outcomes</w:t>
      </w:r>
      <w:r>
        <w:rPr>
          <w:b/>
          <w:bCs/>
        </w:rPr>
        <w:t>.</w:t>
      </w:r>
    </w:p>
    <w:p w14:paraId="66A7D5C7" w14:textId="77777777" w:rsidR="00D75098" w:rsidRPr="008B120B" w:rsidRDefault="00D75098" w:rsidP="00916D7C">
      <w:pPr>
        <w:pStyle w:val="PlainText"/>
        <w:spacing w:after="160" w:line="360" w:lineRule="auto"/>
        <w:rPr>
          <w:sz w:val="24"/>
          <w:szCs w:val="24"/>
        </w:rPr>
      </w:pPr>
    </w:p>
    <w:p w14:paraId="4FC10EEE" w14:textId="77777777" w:rsidR="00D75098" w:rsidRPr="008B120B" w:rsidRDefault="00D75098" w:rsidP="00916D7C">
      <w:pPr>
        <w:pStyle w:val="PlainText"/>
        <w:spacing w:after="160" w:line="360" w:lineRule="auto"/>
        <w:rPr>
          <w:sz w:val="24"/>
          <w:szCs w:val="24"/>
        </w:rPr>
      </w:pPr>
    </w:p>
    <w:p w14:paraId="3C669FEC" w14:textId="77777777" w:rsidR="00D75098" w:rsidRPr="008B120B" w:rsidRDefault="00D75098" w:rsidP="00916D7C">
      <w:pPr>
        <w:pStyle w:val="PlainText"/>
        <w:spacing w:after="160" w:line="360" w:lineRule="auto"/>
        <w:rPr>
          <w:sz w:val="24"/>
          <w:szCs w:val="24"/>
        </w:rPr>
      </w:pPr>
    </w:p>
    <w:p w14:paraId="44F7D438" w14:textId="77777777" w:rsidR="00427F6F" w:rsidRPr="008B120B" w:rsidRDefault="00670BBA" w:rsidP="00916D7C">
      <w:pPr>
        <w:pStyle w:val="Heading1"/>
        <w:spacing w:after="160" w:line="360" w:lineRule="auto"/>
      </w:pPr>
      <w:bookmarkStart w:id="2" w:name="_Toc184414865"/>
      <w:r w:rsidRPr="008B120B">
        <w:lastRenderedPageBreak/>
        <w:t>Introduction</w:t>
      </w:r>
      <w:bookmarkEnd w:id="2"/>
    </w:p>
    <w:p w14:paraId="783ECBEE" w14:textId="003468E2" w:rsidR="004B21E4" w:rsidRDefault="0073415F" w:rsidP="001A0B04">
      <w:pPr>
        <w:spacing w:after="200"/>
      </w:pPr>
      <w:r w:rsidRPr="0073415F">
        <w:t xml:space="preserve">JFA Purple Orange is grateful for the opportunity to provide this submission to the Australian Government regarding general Foundational Supports. We will also be lodging a </w:t>
      </w:r>
      <w:r w:rsidR="0009691E">
        <w:t xml:space="preserve">separate </w:t>
      </w:r>
      <w:r w:rsidRPr="0073415F">
        <w:t>submission regarding Foundational Supports for children.</w:t>
      </w:r>
    </w:p>
    <w:p w14:paraId="31FE0B8B" w14:textId="79D61A42" w:rsidR="001646CD" w:rsidRDefault="00D02994" w:rsidP="001A0B04">
      <w:pPr>
        <w:spacing w:after="200"/>
      </w:pPr>
      <w:r>
        <w:t>The re</w:t>
      </w:r>
      <w:r w:rsidR="00FD0272">
        <w:t>cognition</w:t>
      </w:r>
      <w:r w:rsidR="000D0E8A">
        <w:t xml:space="preserve"> </w:t>
      </w:r>
      <w:r w:rsidR="003D4C83">
        <w:t xml:space="preserve">of the </w:t>
      </w:r>
      <w:r w:rsidR="00EA7BC3">
        <w:t>dire ne</w:t>
      </w:r>
      <w:r w:rsidR="00821A27">
        <w:t xml:space="preserve">ed </w:t>
      </w:r>
      <w:r w:rsidR="00FA31D2">
        <w:t>for</w:t>
      </w:r>
      <w:r w:rsidR="00185E3E">
        <w:t xml:space="preserve"> a tier of </w:t>
      </w:r>
      <w:r w:rsidR="00551658">
        <w:t xml:space="preserve">high-quality </w:t>
      </w:r>
      <w:r w:rsidR="00185E3E">
        <w:t>disability supports</w:t>
      </w:r>
      <w:r w:rsidR="00E55EE3">
        <w:t xml:space="preserve"> </w:t>
      </w:r>
      <w:r w:rsidR="00AC60EA">
        <w:t>to address the signi</w:t>
      </w:r>
      <w:r w:rsidR="008F021D">
        <w:t xml:space="preserve">ficant unmet needs of Australians </w:t>
      </w:r>
      <w:r w:rsidR="005F3F52">
        <w:t xml:space="preserve">with disability who are </w:t>
      </w:r>
      <w:r w:rsidR="00DC7D91">
        <w:t xml:space="preserve">not eligible for </w:t>
      </w:r>
      <w:r w:rsidR="00BB1A15">
        <w:t xml:space="preserve">individual </w:t>
      </w:r>
      <w:r w:rsidR="00D44942" w:rsidRPr="001A0B04">
        <w:t xml:space="preserve">National Disability Insurance Scheme (NDIS) </w:t>
      </w:r>
      <w:r w:rsidR="00BB1A15">
        <w:t>plans</w:t>
      </w:r>
      <w:r w:rsidR="00D44942">
        <w:t xml:space="preserve"> is very</w:t>
      </w:r>
      <w:r w:rsidR="006D2691">
        <w:t xml:space="preserve"> welcome.</w:t>
      </w:r>
      <w:r w:rsidR="00185E3E">
        <w:t xml:space="preserve"> </w:t>
      </w:r>
      <w:r w:rsidR="001A0B04" w:rsidRPr="001A0B04">
        <w:t xml:space="preserve">An individual </w:t>
      </w:r>
      <w:r w:rsidR="00D44942">
        <w:t xml:space="preserve">NDIS </w:t>
      </w:r>
      <w:r w:rsidR="001A0B04" w:rsidRPr="001A0B04">
        <w:t>plan</w:t>
      </w:r>
      <w:r w:rsidR="00D44942">
        <w:t xml:space="preserve"> </w:t>
      </w:r>
      <w:r w:rsidR="001A0B04" w:rsidRPr="001A0B04">
        <w:t xml:space="preserve">was never intended to be the </w:t>
      </w:r>
      <w:r w:rsidR="00D44942">
        <w:t>‘</w:t>
      </w:r>
      <w:r w:rsidR="001A0B04" w:rsidRPr="001A0B04">
        <w:t>only lifeboat in the ocean</w:t>
      </w:r>
      <w:r w:rsidR="00D44942">
        <w:t>’,</w:t>
      </w:r>
      <w:r w:rsidR="00D44942" w:rsidRPr="00D44942">
        <w:t xml:space="preserve"> </w:t>
      </w:r>
      <w:r w:rsidR="00D44942" w:rsidRPr="001A0B04">
        <w:t xml:space="preserve">as </w:t>
      </w:r>
      <w:r w:rsidR="00D44942">
        <w:t xml:space="preserve">NDIS </w:t>
      </w:r>
      <w:r w:rsidR="00D44942" w:rsidRPr="001A0B04">
        <w:t>Minister Bill Shorten has frequently highlighted</w:t>
      </w:r>
      <w:r w:rsidR="00D44942">
        <w:t>,</w:t>
      </w:r>
      <w:r w:rsidR="00CA0B85">
        <w:rPr>
          <w:rStyle w:val="FootnoteReference"/>
        </w:rPr>
        <w:footnoteReference w:id="2"/>
      </w:r>
      <w:r w:rsidR="00D44942">
        <w:t xml:space="preserve">  </w:t>
      </w:r>
      <w:r w:rsidR="00F95A63">
        <w:t>or</w:t>
      </w:r>
      <w:r w:rsidR="00D44942">
        <w:t xml:space="preserve"> an</w:t>
      </w:r>
      <w:r w:rsidR="00F95A63">
        <w:t xml:space="preserve"> </w:t>
      </w:r>
      <w:r w:rsidR="00D44942">
        <w:t>‘</w:t>
      </w:r>
      <w:r w:rsidR="00F95A63">
        <w:t>oasis in the desert</w:t>
      </w:r>
      <w:r w:rsidR="00D44942">
        <w:t>’</w:t>
      </w:r>
      <w:r w:rsidR="00F95A63">
        <w:t>, as the NDIS Review preferred</w:t>
      </w:r>
      <w:r w:rsidR="00D44942">
        <w:t xml:space="preserve"> to describe it</w:t>
      </w:r>
      <w:r w:rsidR="001A0B04" w:rsidRPr="001A0B04">
        <w:t>.</w:t>
      </w:r>
      <w:r w:rsidR="00772793">
        <w:rPr>
          <w:rStyle w:val="FootnoteReference"/>
        </w:rPr>
        <w:footnoteReference w:id="3"/>
      </w:r>
      <w:r w:rsidR="001A0B04" w:rsidRPr="001A0B04">
        <w:t xml:space="preserve"> </w:t>
      </w:r>
      <w:r w:rsidR="00230626">
        <w:t xml:space="preserve">The </w:t>
      </w:r>
      <w:r w:rsidR="004934AA">
        <w:t xml:space="preserve">Scheme was </w:t>
      </w:r>
      <w:r w:rsidR="00A07D3A">
        <w:t xml:space="preserve">only </w:t>
      </w:r>
      <w:r w:rsidR="004934AA">
        <w:t xml:space="preserve">designed </w:t>
      </w:r>
      <w:r w:rsidR="00290555">
        <w:t xml:space="preserve">to meet the needs of </w:t>
      </w:r>
      <w:r w:rsidR="00787501">
        <w:t xml:space="preserve">those </w:t>
      </w:r>
      <w:r w:rsidR="00545FE8">
        <w:t xml:space="preserve">with </w:t>
      </w:r>
      <w:r w:rsidR="008F45EC">
        <w:t xml:space="preserve">significant </w:t>
      </w:r>
      <w:r w:rsidR="00F15D3A">
        <w:t>support</w:t>
      </w:r>
      <w:r w:rsidR="00645FA5">
        <w:t xml:space="preserve"> </w:t>
      </w:r>
      <w:r w:rsidR="00F15D3A">
        <w:t xml:space="preserve">needs </w:t>
      </w:r>
      <w:r w:rsidR="008F45EC">
        <w:t xml:space="preserve">while </w:t>
      </w:r>
      <w:r w:rsidR="00E328A3">
        <w:t xml:space="preserve">existing services were expected to continue </w:t>
      </w:r>
      <w:r w:rsidR="003668FE">
        <w:t>for</w:t>
      </w:r>
      <w:r w:rsidR="00E328A3">
        <w:t xml:space="preserve"> the vast majority of people with disability. </w:t>
      </w:r>
      <w:r w:rsidR="009C4BFA">
        <w:t xml:space="preserve">Unfortunately, </w:t>
      </w:r>
      <w:r w:rsidR="007A30E6">
        <w:t xml:space="preserve">as the NDIS was rolled out across Australia, governments withdrew funding from their </w:t>
      </w:r>
      <w:r w:rsidR="009B7872">
        <w:t>ongo</w:t>
      </w:r>
      <w:r w:rsidR="004D5329">
        <w:t>ing</w:t>
      </w:r>
      <w:r w:rsidR="00B733C6">
        <w:t xml:space="preserve"> responsibilities</w:t>
      </w:r>
      <w:r w:rsidR="00CE635C">
        <w:t>, something that has proven to be a grave mistake</w:t>
      </w:r>
      <w:r w:rsidR="00770441">
        <w:t xml:space="preserve"> that </w:t>
      </w:r>
      <w:r w:rsidR="00DF09C6">
        <w:t>now requires urgent attention and resources</w:t>
      </w:r>
      <w:r w:rsidR="00CE635C">
        <w:t xml:space="preserve">. </w:t>
      </w:r>
      <w:r w:rsidR="00EE2EC8">
        <w:t xml:space="preserve">In </w:t>
      </w:r>
      <w:r w:rsidR="009B3025">
        <w:t>fact</w:t>
      </w:r>
      <w:r w:rsidR="00EE2EC8">
        <w:t>, Foundational Supports are not a</w:t>
      </w:r>
      <w:r w:rsidR="007E2390">
        <w:t xml:space="preserve">n additional </w:t>
      </w:r>
      <w:r w:rsidR="00B0648A">
        <w:t>init</w:t>
      </w:r>
      <w:r w:rsidR="00C1083A">
        <w:t>iative</w:t>
      </w:r>
      <w:r w:rsidR="00BE2FCE">
        <w:t xml:space="preserve">, as </w:t>
      </w:r>
      <w:r w:rsidR="009320D4">
        <w:t>has been</w:t>
      </w:r>
      <w:r w:rsidR="00BE2FCE">
        <w:t xml:space="preserve"> suggested</w:t>
      </w:r>
      <w:r w:rsidR="00EE2EC8">
        <w:t xml:space="preserve">, but </w:t>
      </w:r>
      <w:r w:rsidR="00E55DE9">
        <w:t xml:space="preserve">rather </w:t>
      </w:r>
      <w:r w:rsidR="00EE2EC8">
        <w:t xml:space="preserve">a </w:t>
      </w:r>
      <w:r w:rsidR="00DC56AE">
        <w:t xml:space="preserve">much-needed investment in </w:t>
      </w:r>
      <w:r w:rsidR="00EE2EC8">
        <w:t xml:space="preserve">existing responsibilities </w:t>
      </w:r>
      <w:r w:rsidR="00741E4A">
        <w:t xml:space="preserve">after a period of </w:t>
      </w:r>
      <w:r w:rsidR="00702D2F">
        <w:t>severe</w:t>
      </w:r>
      <w:r w:rsidR="00101791">
        <w:t xml:space="preserve"> </w:t>
      </w:r>
      <w:r w:rsidR="00741E4A">
        <w:t>neglect</w:t>
      </w:r>
      <w:r w:rsidR="00EE2EC8">
        <w:t xml:space="preserve">. </w:t>
      </w:r>
    </w:p>
    <w:p w14:paraId="03FFDC36" w14:textId="6E429083" w:rsidR="00E97FAF" w:rsidRPr="001A0B04" w:rsidRDefault="00770441" w:rsidP="001A0B04">
      <w:pPr>
        <w:spacing w:after="200"/>
      </w:pPr>
      <w:r>
        <w:t>I</w:t>
      </w:r>
      <w:r w:rsidR="001A0B04" w:rsidRPr="001A0B04">
        <w:t xml:space="preserve">n 2011, the Productivity Commission conceptualised a </w:t>
      </w:r>
      <w:r w:rsidR="00EA7F7C">
        <w:rPr>
          <w:b/>
          <w:bCs/>
        </w:rPr>
        <w:t>‘</w:t>
      </w:r>
      <w:r w:rsidR="001A0B04" w:rsidRPr="001A0B04">
        <w:rPr>
          <w:b/>
          <w:bCs/>
        </w:rPr>
        <w:t>coherent national system</w:t>
      </w:r>
      <w:r w:rsidR="00EA7F7C">
        <w:rPr>
          <w:b/>
          <w:bCs/>
        </w:rPr>
        <w:t>’</w:t>
      </w:r>
      <w:r w:rsidR="001A0B04" w:rsidRPr="001A0B04">
        <w:t xml:space="preserve"> </w:t>
      </w:r>
      <w:r w:rsidR="001A0B04" w:rsidRPr="001A0B04">
        <w:rPr>
          <w:b/>
          <w:bCs/>
        </w:rPr>
        <w:t xml:space="preserve">encompassing multiple tiers </w:t>
      </w:r>
      <w:r w:rsidR="001A0B04" w:rsidRPr="001A0B04">
        <w:t>whereby access to funded individualised supports for people with significant support needs would comprise ‘Tier 3’.</w:t>
      </w:r>
      <w:r w:rsidR="00C82CA9">
        <w:rPr>
          <w:rStyle w:val="FootnoteReference"/>
        </w:rPr>
        <w:footnoteReference w:id="4"/>
      </w:r>
      <w:r w:rsidR="001A0B04" w:rsidRPr="001A0B04">
        <w:t xml:space="preserve"> ‘Tier 2’ was designated as providing </w:t>
      </w:r>
      <w:r w:rsidR="001A0B04" w:rsidRPr="001A0B04">
        <w:rPr>
          <w:b/>
          <w:bCs/>
        </w:rPr>
        <w:t xml:space="preserve">information, referrals, and linkages to community supports and mainstream services </w:t>
      </w:r>
      <w:r w:rsidR="001A0B04" w:rsidRPr="001A0B04">
        <w:t xml:space="preserve">to stimulate </w:t>
      </w:r>
      <w:r w:rsidR="001A0B04" w:rsidRPr="001A0B04">
        <w:rPr>
          <w:b/>
          <w:bCs/>
        </w:rPr>
        <w:t xml:space="preserve">social capital </w:t>
      </w:r>
      <w:r w:rsidR="001A0B04" w:rsidRPr="001A0B04">
        <w:t>for those with Tier 3 plans</w:t>
      </w:r>
      <w:r w:rsidR="00581EC1">
        <w:t>,</w:t>
      </w:r>
      <w:r w:rsidR="001A0B04" w:rsidRPr="001A0B04">
        <w:t xml:space="preserve"> as well as the broader population of people with disability. ‘Tier 1’ encapsulated the whole Australian population and society where the social and economic participation of everyone would be enabled and supported irrespective of the presence or acquisition of disability. Unfortunately, as Minister Shorten </w:t>
      </w:r>
      <w:r w:rsidR="006F34F8">
        <w:t xml:space="preserve">has </w:t>
      </w:r>
      <w:r w:rsidR="001A0B04" w:rsidRPr="001A0B04">
        <w:t>allude</w:t>
      </w:r>
      <w:r w:rsidR="008525B2">
        <w:t>d</w:t>
      </w:r>
      <w:r w:rsidR="001A0B04" w:rsidRPr="001A0B04">
        <w:t xml:space="preserve"> to</w:t>
      </w:r>
      <w:r w:rsidR="006F34F8">
        <w:t>,</w:t>
      </w:r>
      <w:r w:rsidR="004A3AED">
        <w:t xml:space="preserve"> and </w:t>
      </w:r>
      <w:r w:rsidR="00BD1A21">
        <w:t xml:space="preserve">the </w:t>
      </w:r>
      <w:r w:rsidR="004A3AED">
        <w:t>NDIS Review</w:t>
      </w:r>
      <w:r w:rsidR="00BD1A21">
        <w:t xml:space="preserve"> Final Report</w:t>
      </w:r>
      <w:r w:rsidR="004A3AED">
        <w:t xml:space="preserve"> and the</w:t>
      </w:r>
      <w:r w:rsidR="00F54FD2">
        <w:t xml:space="preserve"> discussion</w:t>
      </w:r>
      <w:r w:rsidR="004A3AED">
        <w:t xml:space="preserve"> </w:t>
      </w:r>
      <w:r w:rsidR="00F54FD2">
        <w:t>p</w:t>
      </w:r>
      <w:r w:rsidR="004A3AED">
        <w:t>aper</w:t>
      </w:r>
      <w:r w:rsidR="006F34F8">
        <w:t xml:space="preserve"> for this </w:t>
      </w:r>
      <w:r w:rsidR="006F34F8">
        <w:lastRenderedPageBreak/>
        <w:t>consultation clearly</w:t>
      </w:r>
      <w:r w:rsidR="004A3AED">
        <w:t xml:space="preserve"> recognise</w:t>
      </w:r>
      <w:r w:rsidR="001A0B04" w:rsidRPr="001A0B04">
        <w:t>, individual plans have absorbed most of the attention and focus during the first decade of the Scheme</w:t>
      </w:r>
      <w:r w:rsidR="00AB276F">
        <w:t>’s operation</w:t>
      </w:r>
      <w:r w:rsidR="001A0B04" w:rsidRPr="001A0B04">
        <w:t xml:space="preserve">. </w:t>
      </w:r>
      <w:r w:rsidR="00A83956">
        <w:t>We agree, and</w:t>
      </w:r>
      <w:r w:rsidR="00D04E8A">
        <w:t xml:space="preserve"> indeed</w:t>
      </w:r>
      <w:r w:rsidR="00A83956">
        <w:t xml:space="preserve"> submitted to the NDIS Review</w:t>
      </w:r>
      <w:r w:rsidR="006E57B0">
        <w:t xml:space="preserve"> last year</w:t>
      </w:r>
      <w:r w:rsidR="00A83956">
        <w:t xml:space="preserve">, </w:t>
      </w:r>
      <w:r w:rsidR="006B2430" w:rsidRPr="00D750B1">
        <w:t xml:space="preserve">that </w:t>
      </w:r>
      <w:r w:rsidR="001A0B04" w:rsidRPr="00D750B1">
        <w:t>Tier 2</w:t>
      </w:r>
      <w:r w:rsidR="00A36B85" w:rsidRPr="00D750B1">
        <w:t>, now rebadged as Foundational Supports,</w:t>
      </w:r>
      <w:r w:rsidR="001A0B04" w:rsidRPr="00D750B1">
        <w:t xml:space="preserve"> is essential to the success and sustainability of Tier 3 </w:t>
      </w:r>
      <w:r w:rsidR="000D6DF3" w:rsidRPr="00D750B1">
        <w:t xml:space="preserve">individual plans </w:t>
      </w:r>
      <w:r w:rsidR="001A0B04" w:rsidRPr="00D750B1">
        <w:t>and to realising the benefits of full social and economic inclusion in line with the desired outcomes for Tier 1.</w:t>
      </w:r>
    </w:p>
    <w:p w14:paraId="14124341" w14:textId="3631E9A7" w:rsidR="005B36D1" w:rsidRDefault="00FE65D5" w:rsidP="00B969D1">
      <w:pPr>
        <w:spacing w:after="200"/>
      </w:pPr>
      <w:r>
        <w:t xml:space="preserve">Well-designed and appropriately funded </w:t>
      </w:r>
      <w:r w:rsidR="00244FB5">
        <w:t>Foundational Support</w:t>
      </w:r>
      <w:r w:rsidR="00244FB5" w:rsidRPr="00244FB5">
        <w:t xml:space="preserve">s </w:t>
      </w:r>
      <w:r w:rsidR="00244FB5">
        <w:t xml:space="preserve">will </w:t>
      </w:r>
      <w:r>
        <w:t>deliver</w:t>
      </w:r>
      <w:r w:rsidR="00762889">
        <w:t xml:space="preserve"> many</w:t>
      </w:r>
      <w:r w:rsidR="00244FB5" w:rsidRPr="00244FB5">
        <w:t xml:space="preserve"> </w:t>
      </w:r>
      <w:r w:rsidR="00244FB5" w:rsidRPr="00244FB5">
        <w:rPr>
          <w:b/>
          <w:bCs/>
        </w:rPr>
        <w:t>benefit</w:t>
      </w:r>
      <w:r w:rsidR="00762889">
        <w:rPr>
          <w:b/>
          <w:bCs/>
        </w:rPr>
        <w:t>s</w:t>
      </w:r>
      <w:r w:rsidR="00295806">
        <w:rPr>
          <w:b/>
          <w:bCs/>
        </w:rPr>
        <w:t xml:space="preserve"> </w:t>
      </w:r>
      <w:r w:rsidR="00295806">
        <w:t>for Australians with disability</w:t>
      </w:r>
      <w:r w:rsidR="00467428">
        <w:t>, as well as</w:t>
      </w:r>
      <w:r w:rsidR="00295806">
        <w:t xml:space="preserve"> their families, informal supports, allies, </w:t>
      </w:r>
      <w:r w:rsidR="00C81F70">
        <w:t>the disability sector, governments, the economy, and society</w:t>
      </w:r>
      <w:r w:rsidR="00244FB5" w:rsidRPr="00244FB5">
        <w:t>.</w:t>
      </w:r>
      <w:r>
        <w:t xml:space="preserve"> T</w:t>
      </w:r>
      <w:r w:rsidR="00244FB5" w:rsidRPr="00244FB5">
        <w:t xml:space="preserve">his type of investment can help reduce the need for some people with disability to obtain an individual </w:t>
      </w:r>
      <w:r w:rsidR="00BC77D3">
        <w:t xml:space="preserve">NDIS </w:t>
      </w:r>
      <w:r w:rsidR="00244FB5" w:rsidRPr="00244FB5">
        <w:t xml:space="preserve">plan, because their </w:t>
      </w:r>
      <w:r w:rsidR="00244FB5" w:rsidRPr="00244FB5">
        <w:rPr>
          <w:b/>
          <w:bCs/>
        </w:rPr>
        <w:t>life chances have improved</w:t>
      </w:r>
      <w:r w:rsidR="00244FB5" w:rsidRPr="00244FB5">
        <w:t xml:space="preserve">, or </w:t>
      </w:r>
      <w:r w:rsidR="00244FB5" w:rsidRPr="00244FB5">
        <w:rPr>
          <w:b/>
          <w:bCs/>
        </w:rPr>
        <w:t>been defended</w:t>
      </w:r>
      <w:r w:rsidR="00244FB5" w:rsidRPr="00244FB5">
        <w:t xml:space="preserve">, by accessing </w:t>
      </w:r>
      <w:r w:rsidR="00F17DDE">
        <w:t>Foundational Supports</w:t>
      </w:r>
      <w:r w:rsidR="00244FB5" w:rsidRPr="00244FB5">
        <w:t>. This idea is echoed in other jurisdictions, including in the United Kingdom, through methodologies such as Community Led Support (CLS)</w:t>
      </w:r>
      <w:r w:rsidR="00290F3A">
        <w:rPr>
          <w:rStyle w:val="FootnoteReference"/>
        </w:rPr>
        <w:footnoteReference w:id="5"/>
      </w:r>
      <w:r w:rsidR="00244FB5" w:rsidRPr="00244FB5">
        <w:t xml:space="preserve">, that seek to meet people’s needs with mainstream community </w:t>
      </w:r>
      <w:r w:rsidR="007C60DB" w:rsidRPr="00244FB5">
        <w:t>resources,</w:t>
      </w:r>
      <w:r w:rsidR="00244FB5" w:rsidRPr="00244FB5">
        <w:t xml:space="preserve"> so they do not have to enter formal systems with all the labelling, waiting, bureaucra</w:t>
      </w:r>
      <w:r w:rsidR="0035399F">
        <w:t>tic processes</w:t>
      </w:r>
      <w:r w:rsidR="00244FB5" w:rsidRPr="00244FB5">
        <w:t xml:space="preserve">, and similar, that go with </w:t>
      </w:r>
      <w:r w:rsidR="00094097">
        <w:t>that</w:t>
      </w:r>
      <w:r w:rsidR="00244FB5" w:rsidRPr="00244FB5">
        <w:t>.</w:t>
      </w:r>
      <w:r w:rsidR="00FA42DC">
        <w:t xml:space="preserve"> </w:t>
      </w:r>
      <w:r w:rsidR="00121D22">
        <w:t>For this to be achieved, i</w:t>
      </w:r>
      <w:r w:rsidR="00E13628">
        <w:t>t is essential</w:t>
      </w:r>
      <w:r w:rsidR="00121D22">
        <w:t xml:space="preserve"> </w:t>
      </w:r>
      <w:r w:rsidR="00E13628">
        <w:t xml:space="preserve">for every </w:t>
      </w:r>
      <w:r w:rsidR="00BB3F76">
        <w:t>element</w:t>
      </w:r>
      <w:r w:rsidR="009A6CF6">
        <w:t xml:space="preserve"> of </w:t>
      </w:r>
      <w:r w:rsidR="00E13628">
        <w:t>Foundational Support</w:t>
      </w:r>
      <w:r w:rsidR="009A6CF6">
        <w:t>s</w:t>
      </w:r>
      <w:r w:rsidR="00E13628">
        <w:t xml:space="preserve"> to be co-designed</w:t>
      </w:r>
      <w:r w:rsidR="005E63FF">
        <w:t xml:space="preserve"> with </w:t>
      </w:r>
      <w:r w:rsidR="00540D5D">
        <w:t>Australians</w:t>
      </w:r>
      <w:r w:rsidR="005E63FF">
        <w:t xml:space="preserve"> with disability</w:t>
      </w:r>
      <w:r w:rsidR="00E13628">
        <w:t xml:space="preserve">, </w:t>
      </w:r>
      <w:r w:rsidR="007C3B85">
        <w:t xml:space="preserve">receive </w:t>
      </w:r>
      <w:r w:rsidR="00E13628">
        <w:t>consistent</w:t>
      </w:r>
      <w:r w:rsidR="007C3B85">
        <w:t xml:space="preserve"> and adequate</w:t>
      </w:r>
      <w:r w:rsidR="00E13628">
        <w:t xml:space="preserve"> </w:t>
      </w:r>
      <w:r w:rsidR="007868D6">
        <w:t xml:space="preserve">long-term </w:t>
      </w:r>
      <w:r w:rsidR="00E13628">
        <w:t>fund</w:t>
      </w:r>
      <w:r w:rsidR="007C3B85">
        <w:t>ing</w:t>
      </w:r>
      <w:r w:rsidR="00E13628">
        <w:t xml:space="preserve">, </w:t>
      </w:r>
      <w:r w:rsidR="00540D5D">
        <w:t xml:space="preserve">and </w:t>
      </w:r>
      <w:r w:rsidR="00E13628">
        <w:t xml:space="preserve">align with </w:t>
      </w:r>
      <w:r w:rsidR="007868D6">
        <w:t xml:space="preserve">the commitments in </w:t>
      </w:r>
      <w:r w:rsidR="007868D6" w:rsidRPr="005B0F63">
        <w:rPr>
          <w:i/>
          <w:iCs/>
        </w:rPr>
        <w:t>Australia’s Disability Strategy 2021-2031</w:t>
      </w:r>
      <w:r w:rsidR="005B0F63">
        <w:t xml:space="preserve">. </w:t>
      </w:r>
      <w:r w:rsidR="007C60DB">
        <w:t xml:space="preserve">The </w:t>
      </w:r>
      <w:r w:rsidR="00E13628">
        <w:t xml:space="preserve">recommendations </w:t>
      </w:r>
      <w:r w:rsidR="007868D6">
        <w:t xml:space="preserve">of the </w:t>
      </w:r>
      <w:r w:rsidR="00E13628">
        <w:t>Royal Commission</w:t>
      </w:r>
      <w:r w:rsidR="00135FCF">
        <w:t xml:space="preserve"> </w:t>
      </w:r>
      <w:r w:rsidR="00957E94" w:rsidRPr="00957E94">
        <w:t>into Violence, Abuse, Neglect</w:t>
      </w:r>
      <w:r w:rsidR="00F440B2">
        <w:t>,</w:t>
      </w:r>
      <w:r w:rsidR="00957E94" w:rsidRPr="00957E94">
        <w:t xml:space="preserve"> and Exploitation of People with Disability</w:t>
      </w:r>
      <w:r w:rsidR="00787EB8">
        <w:t xml:space="preserve"> (DRC)</w:t>
      </w:r>
      <w:r w:rsidR="00957E94">
        <w:t xml:space="preserve">, particularly those of the </w:t>
      </w:r>
      <w:r w:rsidR="00AB4A9F">
        <w:t xml:space="preserve">Commissioners with lived experience, should inform </w:t>
      </w:r>
      <w:r w:rsidR="003A227D">
        <w:t>the development of Foundational Supports</w:t>
      </w:r>
      <w:r w:rsidR="002F72B1">
        <w:t xml:space="preserve">. </w:t>
      </w:r>
    </w:p>
    <w:p w14:paraId="21AFACA5" w14:textId="2F1BC7B8" w:rsidR="00E97FAF" w:rsidRDefault="002F72B1" w:rsidP="00B969D1">
      <w:pPr>
        <w:spacing w:after="200"/>
      </w:pPr>
      <w:r>
        <w:t>W</w:t>
      </w:r>
      <w:r w:rsidR="00E13628">
        <w:t xml:space="preserve">e </w:t>
      </w:r>
      <w:r w:rsidR="004613C9">
        <w:t>also believe the</w:t>
      </w:r>
      <w:r w:rsidR="00FA42DC">
        <w:t xml:space="preserve"> </w:t>
      </w:r>
      <w:r w:rsidR="004613C9">
        <w:t>M</w:t>
      </w:r>
      <w:r w:rsidR="00FA42DC">
        <w:t>odel of Citizenhood Support</w:t>
      </w:r>
      <w:r w:rsidR="00877EEA">
        <w:rPr>
          <w:rStyle w:val="FootnoteReference"/>
        </w:rPr>
        <w:footnoteReference w:id="6"/>
      </w:r>
      <w:r w:rsidR="004613C9">
        <w:t xml:space="preserve">, developed by our agency, </w:t>
      </w:r>
      <w:r w:rsidR="00BB5E18">
        <w:t xml:space="preserve">would provide a </w:t>
      </w:r>
      <w:r w:rsidR="00F1182F">
        <w:t xml:space="preserve">strong </w:t>
      </w:r>
      <w:r w:rsidR="00133908">
        <w:t xml:space="preserve">basis upon which to </w:t>
      </w:r>
      <w:r w:rsidR="00665994">
        <w:t xml:space="preserve">build a coherent and comprehensive national </w:t>
      </w:r>
      <w:r w:rsidR="00071047">
        <w:t>Foundational Supports Strategy</w:t>
      </w:r>
      <w:r w:rsidR="00B11C7C">
        <w:t>.</w:t>
      </w:r>
      <w:r w:rsidR="00E13628">
        <w:t xml:space="preserve"> </w:t>
      </w:r>
      <w:r w:rsidR="005E0D52">
        <w:t xml:space="preserve">Therefore, we begin our submission </w:t>
      </w:r>
      <w:r w:rsidR="000D08FF">
        <w:t>with a</w:t>
      </w:r>
      <w:r w:rsidR="00291FD9">
        <w:t>n</w:t>
      </w:r>
      <w:r w:rsidR="000D08FF">
        <w:t xml:space="preserve"> </w:t>
      </w:r>
      <w:r w:rsidR="00764BE4">
        <w:t xml:space="preserve">outline of the Model and how it can apply to Foundational Supports. Then, in the first </w:t>
      </w:r>
      <w:r w:rsidR="003B6A90">
        <w:t xml:space="preserve">section </w:t>
      </w:r>
      <w:r w:rsidR="00ED33FD">
        <w:t xml:space="preserve">of this submission, </w:t>
      </w:r>
      <w:r w:rsidR="005066D4" w:rsidRPr="005066D4">
        <w:t xml:space="preserve">we focus on the broad parameters to support the design of Foundational Supports. </w:t>
      </w:r>
      <w:r w:rsidR="005066D4">
        <w:t xml:space="preserve">We draw particular attention to the importance of an effective transition that ensures </w:t>
      </w:r>
      <w:r w:rsidR="0090029B">
        <w:t xml:space="preserve">existing </w:t>
      </w:r>
      <w:r w:rsidR="008D7DCD">
        <w:t xml:space="preserve">successful </w:t>
      </w:r>
      <w:r w:rsidR="005D1B3A">
        <w:t>supports and projects</w:t>
      </w:r>
      <w:r w:rsidR="00D33769">
        <w:t xml:space="preserve"> can </w:t>
      </w:r>
      <w:r w:rsidR="00317076">
        <w:t xml:space="preserve">transfer </w:t>
      </w:r>
      <w:r w:rsidR="005235AE">
        <w:t>in</w:t>
      </w:r>
      <w:r w:rsidR="00317076">
        <w:t xml:space="preserve">to </w:t>
      </w:r>
      <w:r w:rsidR="00A20852">
        <w:t>the Foundational Supports framework without funding gaps o</w:t>
      </w:r>
      <w:r w:rsidR="005235AE">
        <w:t>r</w:t>
      </w:r>
      <w:r w:rsidR="00A20852">
        <w:t xml:space="preserve"> other disruptions that will impact </w:t>
      </w:r>
      <w:r w:rsidR="00B300D3">
        <w:lastRenderedPageBreak/>
        <w:t>participation, community trust, or staffing.</w:t>
      </w:r>
      <w:r w:rsidR="008D7DCD">
        <w:t xml:space="preserve"> </w:t>
      </w:r>
      <w:r w:rsidR="005066D4" w:rsidRPr="005066D4">
        <w:t xml:space="preserve">In subsequent sections, we address the types of Foundational Supports that are needed including peer support, self-advocacy, capacity building, and information and advice, and highlight considerations that should be </w:t>
      </w:r>
      <w:proofErr w:type="gramStart"/>
      <w:r w:rsidR="005066D4" w:rsidRPr="005066D4">
        <w:t>taken into ac</w:t>
      </w:r>
      <w:r w:rsidR="00265D88">
        <w:t>c</w:t>
      </w:r>
      <w:r w:rsidR="005066D4" w:rsidRPr="005066D4">
        <w:t>ount</w:t>
      </w:r>
      <w:proofErr w:type="gramEnd"/>
      <w:r w:rsidR="005066D4" w:rsidRPr="005066D4">
        <w:t xml:space="preserve"> for each.</w:t>
      </w:r>
    </w:p>
    <w:p w14:paraId="3A93DD9F" w14:textId="5143DD83" w:rsidR="00522589" w:rsidRDefault="00B02E9A" w:rsidP="00B969D1">
      <w:pPr>
        <w:spacing w:after="200"/>
      </w:pPr>
      <w:r>
        <w:t>Across our organisation, we have the</w:t>
      </w:r>
      <w:r w:rsidRPr="00973B2E">
        <w:t xml:space="preserve"> privilege of </w:t>
      </w:r>
      <w:r>
        <w:t xml:space="preserve">regularly </w:t>
      </w:r>
      <w:r w:rsidRPr="00973B2E">
        <w:t xml:space="preserve">hearing from people in our community with </w:t>
      </w:r>
      <w:r>
        <w:t>diverse</w:t>
      </w:r>
      <w:r w:rsidRPr="00973B2E">
        <w:t xml:space="preserve"> disabilities and experiencing a range of life circumstances.</w:t>
      </w:r>
      <w:r>
        <w:t xml:space="preserve"> </w:t>
      </w:r>
      <w:r w:rsidR="00D25A07">
        <w:t xml:space="preserve">This submission draws on input </w:t>
      </w:r>
      <w:r w:rsidR="00CE56FB">
        <w:t>from</w:t>
      </w:r>
      <w:r w:rsidR="00D25A07">
        <w:t xml:space="preserve"> people with disability in a range of consultations we have undertaken </w:t>
      </w:r>
      <w:r w:rsidR="00EE73C7">
        <w:t>covering a broad array of topics</w:t>
      </w:r>
      <w:r w:rsidR="00D25A07">
        <w:t xml:space="preserve">. </w:t>
      </w:r>
      <w:r w:rsidR="00EE73C7">
        <w:t xml:space="preserve">For this submission specifically, we </w:t>
      </w:r>
      <w:r w:rsidR="00A61D00">
        <w:t>held</w:t>
      </w:r>
      <w:r w:rsidR="00EE73C7">
        <w:t xml:space="preserve"> two consultation session</w:t>
      </w:r>
      <w:r w:rsidR="001F18FD">
        <w:t>s</w:t>
      </w:r>
      <w:r w:rsidR="00EE73C7">
        <w:t xml:space="preserve"> with our regional</w:t>
      </w:r>
      <w:r w:rsidR="0049283D">
        <w:t>ly based</w:t>
      </w:r>
      <w:r w:rsidR="00EE73C7">
        <w:t xml:space="preserve"> peer connectors and </w:t>
      </w:r>
      <w:r w:rsidR="0049283D">
        <w:t xml:space="preserve">peer connectors supporting </w:t>
      </w:r>
      <w:r w:rsidR="00912191">
        <w:t>our Bhutanese and Hispanic peer networks in Adelaide</w:t>
      </w:r>
      <w:r w:rsidR="00F40E1E">
        <w:t xml:space="preserve"> to ensure we could provide a breadth and depth o</w:t>
      </w:r>
      <w:r w:rsidR="00C31E00">
        <w:t>f</w:t>
      </w:r>
      <w:r w:rsidR="00F40E1E">
        <w:t xml:space="preserve"> input to inform what </w:t>
      </w:r>
      <w:r w:rsidR="00D57514">
        <w:t>is needed</w:t>
      </w:r>
      <w:r w:rsidR="00912191">
        <w:t xml:space="preserve">. </w:t>
      </w:r>
      <w:r w:rsidR="00BA796E">
        <w:t xml:space="preserve">We </w:t>
      </w:r>
      <w:r w:rsidR="00C40F81" w:rsidRPr="00C40F81">
        <w:t xml:space="preserve">host </w:t>
      </w:r>
      <w:r w:rsidR="0093236F">
        <w:t>numerous</w:t>
      </w:r>
      <w:r w:rsidR="00C40F81" w:rsidRPr="00C40F81">
        <w:t xml:space="preserve"> peer networks for people with disability including people with intellectual disability, physical and sensory disability, younger people, people from culturally and linguistically diverse backgrounds, and people in regional South Australia</w:t>
      </w:r>
      <w:r w:rsidR="00716F3D">
        <w:t xml:space="preserve"> and these connections</w:t>
      </w:r>
      <w:r w:rsidR="005B649F">
        <w:t xml:space="preserve"> </w:t>
      </w:r>
      <w:r w:rsidR="00C3632E">
        <w:t>enrich</w:t>
      </w:r>
      <w:r w:rsidR="005B649F">
        <w:t xml:space="preserve"> </w:t>
      </w:r>
      <w:r w:rsidR="007A15A4">
        <w:t>our policy advocacy work</w:t>
      </w:r>
      <w:r w:rsidR="00C40F81" w:rsidRPr="00C40F81">
        <w:t>.</w:t>
      </w:r>
    </w:p>
    <w:p w14:paraId="02A84213" w14:textId="77777777" w:rsidR="005B36D1" w:rsidRDefault="005B36D1" w:rsidP="00B969D1">
      <w:pPr>
        <w:spacing w:after="200"/>
      </w:pPr>
    </w:p>
    <w:p w14:paraId="7121C0D1" w14:textId="77777777" w:rsidR="00F5089F" w:rsidRPr="00F5089F" w:rsidRDefault="00E97FAF" w:rsidP="00E97FAF">
      <w:pPr>
        <w:pStyle w:val="Heading2"/>
        <w:spacing w:after="160" w:line="360" w:lineRule="auto"/>
        <w:ind w:hanging="573"/>
        <w:rPr>
          <w:sz w:val="32"/>
          <w:szCs w:val="32"/>
        </w:rPr>
      </w:pPr>
      <w:bookmarkStart w:id="3" w:name="_Toc184414866"/>
      <w:r>
        <w:t>Model of Citizenhood Support</w:t>
      </w:r>
      <w:bookmarkEnd w:id="3"/>
    </w:p>
    <w:p w14:paraId="48B2FFFA" w14:textId="01D15FFB" w:rsidR="00A63F4F" w:rsidRDefault="00CE707A" w:rsidP="002D2E62">
      <w:pPr>
        <w:autoSpaceDE w:val="0"/>
        <w:autoSpaceDN w:val="0"/>
        <w:adjustRightInd w:val="0"/>
        <w:spacing w:after="160"/>
        <w:rPr>
          <w:rFonts w:ascii="Calibri" w:hAnsi="Calibri" w:cs="Calibri"/>
          <w:color w:val="000000"/>
        </w:rPr>
      </w:pPr>
      <w:r>
        <w:t>The Model of Citizenhood Support</w:t>
      </w:r>
      <w:r>
        <w:rPr>
          <w:rStyle w:val="FootnoteReference"/>
        </w:rPr>
        <w:footnoteReference w:id="7"/>
      </w:r>
      <w:r>
        <w:t xml:space="preserve"> sets out a framework for how people can be supported to build their chances of a good life and maximise their </w:t>
      </w:r>
      <w:r w:rsidRPr="00306FF4">
        <w:rPr>
          <w:i/>
          <w:iCs/>
        </w:rPr>
        <w:t>Citizenhood</w:t>
      </w:r>
      <w:r>
        <w:t xml:space="preserve">. </w:t>
      </w:r>
      <w:r w:rsidR="00320563">
        <w:t xml:space="preserve">A good life largely depends on the availability of life chances – the assets and opportunities available to a person. </w:t>
      </w:r>
      <w:r w:rsidR="00113717">
        <w:rPr>
          <w:rFonts w:ascii="Calibri" w:hAnsi="Calibri" w:cs="Calibri"/>
          <w:color w:val="000000"/>
        </w:rPr>
        <w:t>Based on this</w:t>
      </w:r>
      <w:r w:rsidR="00113717" w:rsidRPr="00244FB5">
        <w:rPr>
          <w:rFonts w:ascii="Calibri" w:hAnsi="Calibri" w:cs="Calibri"/>
          <w:color w:val="000000"/>
        </w:rPr>
        <w:t xml:space="preserve"> Model, the </w:t>
      </w:r>
      <w:r w:rsidR="00113717">
        <w:rPr>
          <w:rFonts w:ascii="Calibri" w:hAnsi="Calibri" w:cs="Calibri"/>
          <w:color w:val="000000"/>
        </w:rPr>
        <w:t>purpose</w:t>
      </w:r>
      <w:r w:rsidR="00113717" w:rsidRPr="00244FB5">
        <w:rPr>
          <w:rFonts w:ascii="Calibri" w:hAnsi="Calibri" w:cs="Calibri"/>
          <w:color w:val="000000"/>
        </w:rPr>
        <w:t xml:space="preserve"> of Foundational Supports should be to build</w:t>
      </w:r>
      <w:r w:rsidR="00113717">
        <w:rPr>
          <w:rFonts w:ascii="Calibri" w:hAnsi="Calibri" w:cs="Calibri"/>
          <w:color w:val="000000"/>
        </w:rPr>
        <w:t xml:space="preserve"> the </w:t>
      </w:r>
      <w:r w:rsidR="00113717" w:rsidRPr="00244FB5">
        <w:rPr>
          <w:rFonts w:ascii="Calibri" w:hAnsi="Calibri" w:cs="Calibri"/>
          <w:color w:val="000000"/>
        </w:rPr>
        <w:t>life chances</w:t>
      </w:r>
      <w:r w:rsidR="00113717">
        <w:rPr>
          <w:rFonts w:ascii="Calibri" w:hAnsi="Calibri" w:cs="Calibri"/>
          <w:color w:val="000000"/>
        </w:rPr>
        <w:t xml:space="preserve"> of people with disability</w:t>
      </w:r>
      <w:r w:rsidR="00113717" w:rsidRPr="00244FB5">
        <w:rPr>
          <w:rFonts w:ascii="Calibri" w:hAnsi="Calibri" w:cs="Calibri"/>
          <w:color w:val="000000"/>
        </w:rPr>
        <w:t xml:space="preserve">, so they are </w:t>
      </w:r>
      <w:r w:rsidR="00113717">
        <w:rPr>
          <w:rFonts w:ascii="Calibri" w:hAnsi="Calibri" w:cs="Calibri"/>
          <w:color w:val="000000"/>
        </w:rPr>
        <w:t>en</w:t>
      </w:r>
      <w:r w:rsidR="00113717" w:rsidRPr="00244FB5">
        <w:rPr>
          <w:rFonts w:ascii="Calibri" w:hAnsi="Calibri" w:cs="Calibri"/>
          <w:color w:val="000000"/>
        </w:rPr>
        <w:t>able</w:t>
      </w:r>
      <w:r w:rsidR="00113717">
        <w:rPr>
          <w:rFonts w:ascii="Calibri" w:hAnsi="Calibri" w:cs="Calibri"/>
          <w:color w:val="000000"/>
        </w:rPr>
        <w:t>d</w:t>
      </w:r>
      <w:r w:rsidR="00113717" w:rsidRPr="00244FB5">
        <w:rPr>
          <w:rFonts w:ascii="Calibri" w:hAnsi="Calibri" w:cs="Calibri"/>
          <w:color w:val="000000"/>
        </w:rPr>
        <w:t xml:space="preserve"> to take up, or remain in, valued roles </w:t>
      </w:r>
      <w:r w:rsidR="00113717">
        <w:rPr>
          <w:rFonts w:ascii="Calibri" w:hAnsi="Calibri" w:cs="Calibri"/>
          <w:color w:val="000000"/>
        </w:rPr>
        <w:t xml:space="preserve">in mainstream community life </w:t>
      </w:r>
      <w:r w:rsidR="00113717" w:rsidRPr="00244FB5">
        <w:rPr>
          <w:rFonts w:ascii="Calibri" w:hAnsi="Calibri" w:cs="Calibri"/>
          <w:color w:val="000000"/>
        </w:rPr>
        <w:t xml:space="preserve">that are </w:t>
      </w:r>
      <w:r w:rsidR="00FA1D9C">
        <w:rPr>
          <w:rFonts w:ascii="Calibri" w:hAnsi="Calibri" w:cs="Calibri"/>
          <w:color w:val="000000"/>
        </w:rPr>
        <w:t xml:space="preserve">contributory, </w:t>
      </w:r>
      <w:r w:rsidR="00113717" w:rsidRPr="00244FB5">
        <w:rPr>
          <w:rFonts w:ascii="Calibri" w:hAnsi="Calibri" w:cs="Calibri"/>
          <w:color w:val="000000"/>
        </w:rPr>
        <w:t>meaningful</w:t>
      </w:r>
      <w:r w:rsidR="00FA1D9C">
        <w:rPr>
          <w:rFonts w:ascii="Calibri" w:hAnsi="Calibri" w:cs="Calibri"/>
          <w:color w:val="000000"/>
        </w:rPr>
        <w:t>,</w:t>
      </w:r>
      <w:r w:rsidR="00113717" w:rsidRPr="00244FB5">
        <w:rPr>
          <w:rFonts w:ascii="Calibri" w:hAnsi="Calibri" w:cs="Calibri"/>
          <w:color w:val="000000"/>
        </w:rPr>
        <w:t xml:space="preserve"> and fulfilling. </w:t>
      </w:r>
      <w:r w:rsidR="005D6A21">
        <w:t xml:space="preserve">The Model </w:t>
      </w:r>
      <w:r w:rsidR="00103FAC">
        <w:t xml:space="preserve">asserts </w:t>
      </w:r>
      <w:r w:rsidR="005B25C0">
        <w:t>our life chances comprise four different, interrelated, types of assets we can call upon, termed the Four Capitals.</w:t>
      </w:r>
      <w:r w:rsidR="005563AF">
        <w:t xml:space="preserve"> We </w:t>
      </w:r>
      <w:r w:rsidR="005808FE">
        <w:t>believe</w:t>
      </w:r>
      <w:r w:rsidR="00F5089F" w:rsidRPr="00244FB5">
        <w:rPr>
          <w:rFonts w:ascii="Calibri" w:hAnsi="Calibri" w:cs="Calibri"/>
          <w:color w:val="000000"/>
        </w:rPr>
        <w:t xml:space="preserve"> these </w:t>
      </w:r>
      <w:r w:rsidR="00D07961">
        <w:rPr>
          <w:rFonts w:ascii="Calibri" w:hAnsi="Calibri" w:cs="Calibri"/>
          <w:color w:val="000000"/>
        </w:rPr>
        <w:t xml:space="preserve">provide a sound framework </w:t>
      </w:r>
      <w:r w:rsidR="00D855EB">
        <w:rPr>
          <w:rFonts w:ascii="Calibri" w:hAnsi="Calibri" w:cs="Calibri"/>
          <w:color w:val="000000"/>
        </w:rPr>
        <w:t xml:space="preserve">to underpin </w:t>
      </w:r>
      <w:r w:rsidR="0035685F">
        <w:rPr>
          <w:rFonts w:ascii="Calibri" w:hAnsi="Calibri" w:cs="Calibri"/>
          <w:color w:val="000000"/>
        </w:rPr>
        <w:t>a</w:t>
      </w:r>
      <w:r w:rsidR="00F06F56">
        <w:rPr>
          <w:rFonts w:ascii="Calibri" w:hAnsi="Calibri" w:cs="Calibri"/>
          <w:color w:val="000000"/>
        </w:rPr>
        <w:t xml:space="preserve"> Foundational Supports </w:t>
      </w:r>
      <w:r w:rsidR="006815EA">
        <w:rPr>
          <w:rFonts w:ascii="Calibri" w:hAnsi="Calibri" w:cs="Calibri"/>
          <w:color w:val="000000"/>
        </w:rPr>
        <w:t>S</w:t>
      </w:r>
      <w:r w:rsidR="00F06F56">
        <w:rPr>
          <w:rFonts w:ascii="Calibri" w:hAnsi="Calibri" w:cs="Calibri"/>
          <w:color w:val="000000"/>
        </w:rPr>
        <w:t>trategy</w:t>
      </w:r>
      <w:r w:rsidR="00357900">
        <w:rPr>
          <w:rFonts w:ascii="Calibri" w:hAnsi="Calibri" w:cs="Calibri"/>
          <w:color w:val="000000"/>
        </w:rPr>
        <w:t>, as well as</w:t>
      </w:r>
      <w:r w:rsidR="0071166E">
        <w:rPr>
          <w:rFonts w:ascii="Calibri" w:hAnsi="Calibri" w:cs="Calibri"/>
          <w:color w:val="000000"/>
        </w:rPr>
        <w:t xml:space="preserve"> </w:t>
      </w:r>
      <w:r w:rsidR="00F5089F" w:rsidRPr="00244FB5">
        <w:rPr>
          <w:rFonts w:ascii="Calibri" w:hAnsi="Calibri" w:cs="Calibri"/>
          <w:color w:val="000000"/>
        </w:rPr>
        <w:t>outcome measures</w:t>
      </w:r>
      <w:r w:rsidR="0035685F">
        <w:rPr>
          <w:rFonts w:ascii="Calibri" w:hAnsi="Calibri" w:cs="Calibri"/>
          <w:color w:val="000000"/>
        </w:rPr>
        <w:t xml:space="preserve"> to ensure </w:t>
      </w:r>
      <w:r w:rsidR="0005701E">
        <w:rPr>
          <w:rFonts w:ascii="Calibri" w:hAnsi="Calibri" w:cs="Calibri"/>
          <w:color w:val="000000"/>
        </w:rPr>
        <w:t>accountability for impact</w:t>
      </w:r>
      <w:r w:rsidR="00367BFA">
        <w:rPr>
          <w:rFonts w:ascii="Calibri" w:hAnsi="Calibri" w:cs="Calibri"/>
          <w:color w:val="000000"/>
        </w:rPr>
        <w:t xml:space="preserve"> an</w:t>
      </w:r>
      <w:r w:rsidR="00DA6E13">
        <w:rPr>
          <w:rFonts w:ascii="Calibri" w:hAnsi="Calibri" w:cs="Calibri"/>
          <w:color w:val="000000"/>
        </w:rPr>
        <w:t>d a genuine return on investment</w:t>
      </w:r>
      <w:r w:rsidR="00BD15BC">
        <w:rPr>
          <w:rFonts w:ascii="Calibri" w:hAnsi="Calibri" w:cs="Calibri"/>
          <w:color w:val="000000"/>
        </w:rPr>
        <w:t>.</w:t>
      </w:r>
    </w:p>
    <w:p w14:paraId="2296EEF6" w14:textId="173F8EA4" w:rsidR="00F5089F" w:rsidRDefault="00F5089F" w:rsidP="002D2E62">
      <w:pPr>
        <w:autoSpaceDE w:val="0"/>
        <w:autoSpaceDN w:val="0"/>
        <w:adjustRightInd w:val="0"/>
        <w:spacing w:after="160"/>
        <w:rPr>
          <w:rFonts w:ascii="Calibri" w:hAnsi="Calibri" w:cs="Calibri"/>
          <w:color w:val="000000"/>
        </w:rPr>
      </w:pPr>
      <w:r w:rsidRPr="00244FB5">
        <w:rPr>
          <w:rFonts w:ascii="Calibri" w:hAnsi="Calibri" w:cs="Calibri"/>
          <w:color w:val="000000"/>
        </w:rPr>
        <w:lastRenderedPageBreak/>
        <w:t xml:space="preserve">Below, we give </w:t>
      </w:r>
      <w:proofErr w:type="gramStart"/>
      <w:r w:rsidRPr="00244FB5">
        <w:rPr>
          <w:rFonts w:ascii="Calibri" w:hAnsi="Calibri" w:cs="Calibri"/>
          <w:color w:val="000000"/>
        </w:rPr>
        <w:t>a brief summary</w:t>
      </w:r>
      <w:proofErr w:type="gramEnd"/>
      <w:r w:rsidRPr="00244FB5">
        <w:rPr>
          <w:rFonts w:ascii="Calibri" w:hAnsi="Calibri" w:cs="Calibri"/>
          <w:color w:val="000000"/>
        </w:rPr>
        <w:t xml:space="preserve"> of each of the Four Capitals. </w:t>
      </w:r>
    </w:p>
    <w:p w14:paraId="219E8394" w14:textId="77777777" w:rsidR="007F23C3" w:rsidRPr="005563AF" w:rsidRDefault="007F23C3" w:rsidP="002D2E62">
      <w:pPr>
        <w:autoSpaceDE w:val="0"/>
        <w:autoSpaceDN w:val="0"/>
        <w:adjustRightInd w:val="0"/>
        <w:spacing w:after="160"/>
      </w:pPr>
    </w:p>
    <w:p w14:paraId="5E5CCB95" w14:textId="0BA170C7" w:rsidR="00002C22" w:rsidRPr="00244FB5" w:rsidRDefault="00E85B0C" w:rsidP="00843474">
      <w:pPr>
        <w:pStyle w:val="Heading3"/>
        <w:spacing w:after="160" w:line="360" w:lineRule="auto"/>
        <w:ind w:left="1225" w:hanging="505"/>
      </w:pPr>
      <w:bookmarkStart w:id="4" w:name="_Toc184414867"/>
      <w:r w:rsidRPr="00244FB5">
        <w:t xml:space="preserve">Personal </w:t>
      </w:r>
      <w:r w:rsidR="003E424A">
        <w:t>C</w:t>
      </w:r>
      <w:r w:rsidRPr="00244FB5">
        <w:t>apital</w:t>
      </w:r>
      <w:bookmarkEnd w:id="4"/>
      <w:r w:rsidRPr="00244FB5">
        <w:t xml:space="preserve"> </w:t>
      </w:r>
    </w:p>
    <w:p w14:paraId="35FADA35" w14:textId="53A0E422" w:rsidR="00E85B0C" w:rsidRPr="00244FB5" w:rsidRDefault="00E85B0C" w:rsidP="002D2E62">
      <w:pPr>
        <w:autoSpaceDE w:val="0"/>
        <w:autoSpaceDN w:val="0"/>
        <w:adjustRightInd w:val="0"/>
        <w:spacing w:after="160"/>
      </w:pPr>
      <w:r w:rsidRPr="00244FB5">
        <w:t xml:space="preserve">The first of the Four Capitals refers to the person’s belief in their own value, their gifts, their capacity to grow, to take up valued roles, to see hope in their future, to have jurisdiction over their own decisions, and take purposeful actions. It is Personal Capital that gives you the belief to apply for a job, to ask someone out on a date, to create a sense of home, to take care of your health, and to take a chance on the things that are important to you. </w:t>
      </w:r>
    </w:p>
    <w:p w14:paraId="6E1D3CD0" w14:textId="3FAE3F84" w:rsidR="00E85B0C" w:rsidRDefault="00E85B0C" w:rsidP="002D2E62">
      <w:pPr>
        <w:autoSpaceDE w:val="0"/>
        <w:autoSpaceDN w:val="0"/>
        <w:adjustRightInd w:val="0"/>
        <w:spacing w:after="160"/>
      </w:pPr>
      <w:r w:rsidRPr="00244FB5">
        <w:t xml:space="preserve">We argue this </w:t>
      </w:r>
      <w:r w:rsidR="00002C22" w:rsidRPr="00244FB5">
        <w:t>should be</w:t>
      </w:r>
      <w:r w:rsidRPr="00244FB5">
        <w:t xml:space="preserve"> a central outcome for </w:t>
      </w:r>
      <w:r w:rsidR="00002C22" w:rsidRPr="00244FB5">
        <w:t>Foundational Supports</w:t>
      </w:r>
      <w:r w:rsidRPr="00244FB5">
        <w:t xml:space="preserve">. Given the tyranny of low expectations that have dogged the disability community for generations, </w:t>
      </w:r>
      <w:r w:rsidR="00DA653D" w:rsidRPr="00244FB5">
        <w:t>Foundational Supports</w:t>
      </w:r>
      <w:r w:rsidRPr="00244FB5">
        <w:t xml:space="preserve"> </w:t>
      </w:r>
      <w:r w:rsidR="00C86ECA">
        <w:t>should enable people</w:t>
      </w:r>
      <w:r w:rsidR="00DA653D" w:rsidRPr="00244FB5">
        <w:t xml:space="preserve"> with disability</w:t>
      </w:r>
      <w:r w:rsidRPr="00244FB5">
        <w:t xml:space="preserve"> to reclaim their right to a fair go at what life has to offer, imagine their valued place in mainstream community life, </w:t>
      </w:r>
      <w:r w:rsidR="00EC3B15">
        <w:t xml:space="preserve">and </w:t>
      </w:r>
      <w:r w:rsidRPr="00244FB5">
        <w:t xml:space="preserve">see themself for their strengths and gifts and not for their deficits. </w:t>
      </w:r>
      <w:r w:rsidR="0051564C">
        <w:t>T</w:t>
      </w:r>
      <w:r w:rsidRPr="00244FB5">
        <w:t>his can be measured</w:t>
      </w:r>
      <w:r w:rsidR="00E7774F" w:rsidRPr="00244FB5">
        <w:t xml:space="preserve"> e</w:t>
      </w:r>
      <w:r w:rsidRPr="00244FB5">
        <w:t>asily</w:t>
      </w:r>
      <w:r w:rsidR="006D075E">
        <w:t xml:space="preserve"> </w:t>
      </w:r>
      <w:r w:rsidR="00664E80">
        <w:t>using</w:t>
      </w:r>
      <w:r w:rsidR="00AB54F8">
        <w:t xml:space="preserve"> a few variables </w:t>
      </w:r>
      <w:r w:rsidR="0010399D">
        <w:t xml:space="preserve">that capture </w:t>
      </w:r>
      <w:r w:rsidR="00396E21">
        <w:t>how people see themselves</w:t>
      </w:r>
      <w:r w:rsidR="00110DFF">
        <w:t xml:space="preserve"> </w:t>
      </w:r>
      <w:r w:rsidR="00101815">
        <w:t xml:space="preserve">and how </w:t>
      </w:r>
      <w:r w:rsidR="00C455DA">
        <w:t>it</w:t>
      </w:r>
      <w:r w:rsidR="00101815">
        <w:t xml:space="preserve"> changes </w:t>
      </w:r>
      <w:r w:rsidR="00110DFF">
        <w:t>over time</w:t>
      </w:r>
      <w:r w:rsidRPr="00244FB5">
        <w:t xml:space="preserve">. </w:t>
      </w:r>
    </w:p>
    <w:p w14:paraId="50FFA9E8" w14:textId="77777777" w:rsidR="007F23C3" w:rsidRPr="00BD40A6" w:rsidRDefault="007F23C3" w:rsidP="002D2E62">
      <w:pPr>
        <w:autoSpaceDE w:val="0"/>
        <w:autoSpaceDN w:val="0"/>
        <w:adjustRightInd w:val="0"/>
        <w:spacing w:after="160"/>
      </w:pPr>
    </w:p>
    <w:p w14:paraId="570E8991" w14:textId="0CE84821" w:rsidR="00E85B0C" w:rsidRPr="00244FB5" w:rsidRDefault="00E85B0C" w:rsidP="00843474">
      <w:pPr>
        <w:pStyle w:val="Heading3"/>
        <w:spacing w:after="160" w:line="360" w:lineRule="auto"/>
        <w:ind w:left="1225" w:hanging="505"/>
      </w:pPr>
      <w:bookmarkStart w:id="5" w:name="_Toc184414868"/>
      <w:r w:rsidRPr="00244FB5">
        <w:t xml:space="preserve">Knowledge </w:t>
      </w:r>
      <w:r w:rsidR="00FE0A8E">
        <w:t>C</w:t>
      </w:r>
      <w:r w:rsidRPr="00244FB5">
        <w:t>apital</w:t>
      </w:r>
      <w:bookmarkEnd w:id="5"/>
      <w:r w:rsidRPr="00244FB5">
        <w:t xml:space="preserve"> </w:t>
      </w:r>
    </w:p>
    <w:p w14:paraId="268A6F50" w14:textId="296CB7B1" w:rsidR="00E85B0C" w:rsidRPr="00244FB5" w:rsidRDefault="00E85B0C" w:rsidP="002D2E62">
      <w:pPr>
        <w:autoSpaceDE w:val="0"/>
        <w:autoSpaceDN w:val="0"/>
        <w:adjustRightInd w:val="0"/>
        <w:spacing w:after="160"/>
      </w:pPr>
      <w:r w:rsidRPr="00244FB5">
        <w:t xml:space="preserve">The second of the Four Capitals refers to </w:t>
      </w:r>
      <w:r w:rsidR="001F7D2A">
        <w:t>a</w:t>
      </w:r>
      <w:r w:rsidRPr="00244FB5">
        <w:t xml:space="preserve"> person’s knowledge and skills. It contemplates how </w:t>
      </w:r>
      <w:r w:rsidR="001F7D2A">
        <w:t>a</w:t>
      </w:r>
      <w:r w:rsidRPr="00244FB5">
        <w:t xml:space="preserve"> person is supported to make the best use of the skills and knowledge they have, and how they are supported to grow new skills and knowledge. </w:t>
      </w:r>
      <w:r w:rsidR="00E25038">
        <w:t>Governments</w:t>
      </w:r>
      <w:r w:rsidR="008410C6" w:rsidRPr="00244FB5">
        <w:t xml:space="preserve"> intend for Foundational Supports to</w:t>
      </w:r>
      <w:r w:rsidRPr="00244FB5">
        <w:t xml:space="preserve"> include a ‘capacity-building’ element</w:t>
      </w:r>
      <w:r w:rsidR="008410C6" w:rsidRPr="00244FB5">
        <w:t>.</w:t>
      </w:r>
      <w:r w:rsidRPr="00244FB5">
        <w:t xml:space="preserve"> </w:t>
      </w:r>
      <w:r w:rsidR="008410C6" w:rsidRPr="00244FB5">
        <w:t xml:space="preserve">Often </w:t>
      </w:r>
      <w:r w:rsidRPr="00244FB5">
        <w:t>capacity</w:t>
      </w:r>
      <w:r w:rsidR="00BC708C">
        <w:t xml:space="preserve"> </w:t>
      </w:r>
      <w:r w:rsidRPr="00244FB5">
        <w:t>building has a therapeutic character</w:t>
      </w:r>
      <w:r w:rsidR="002E518B">
        <w:t xml:space="preserve"> </w:t>
      </w:r>
      <w:r w:rsidR="00887144">
        <w:t>(</w:t>
      </w:r>
      <w:r w:rsidR="00BC708C">
        <w:t xml:space="preserve">to be clear, we are not referring </w:t>
      </w:r>
      <w:r w:rsidR="00920587">
        <w:t xml:space="preserve">to </w:t>
      </w:r>
      <w:r w:rsidR="004109CB">
        <w:t xml:space="preserve">genuine </w:t>
      </w:r>
      <w:r w:rsidR="006E6281">
        <w:t>therapy supports here</w:t>
      </w:r>
      <w:r w:rsidR="003C4533">
        <w:t xml:space="preserve">, but other </w:t>
      </w:r>
      <w:r w:rsidR="004109CB">
        <w:t xml:space="preserve">types of </w:t>
      </w:r>
      <w:r w:rsidR="003C4533">
        <w:t xml:space="preserve">supports that </w:t>
      </w:r>
      <w:r w:rsidR="004109CB">
        <w:t xml:space="preserve">can </w:t>
      </w:r>
      <w:r w:rsidR="003C4533">
        <w:t xml:space="preserve">take on </w:t>
      </w:r>
      <w:r w:rsidR="004109CB">
        <w:t xml:space="preserve">a </w:t>
      </w:r>
      <w:r w:rsidR="004109CB" w:rsidRPr="00244FB5">
        <w:t>therapeutic character</w:t>
      </w:r>
      <w:r w:rsidR="006E6281">
        <w:t>)</w:t>
      </w:r>
      <w:r w:rsidR="00904268" w:rsidRPr="00244FB5">
        <w:t>.</w:t>
      </w:r>
      <w:r w:rsidRPr="00244FB5">
        <w:t xml:space="preserve"> The</w:t>
      </w:r>
      <w:r w:rsidR="00DD267C">
        <w:t>se</w:t>
      </w:r>
      <w:r w:rsidRPr="00244FB5">
        <w:t xml:space="preserve"> can be very important investments, but only if we contemplate how the benefit might be understood. Therefore, we argue investment in such endeavours can best be measured by the extent to which it grows authentic Knowledge Capital that moves people closer to the take</w:t>
      </w:r>
      <w:r w:rsidR="00BC2135">
        <w:t xml:space="preserve"> </w:t>
      </w:r>
      <w:r w:rsidRPr="00244FB5">
        <w:t xml:space="preserve">up of valued roles. Otherwise, </w:t>
      </w:r>
      <w:r w:rsidR="00A85E15">
        <w:t>capacity building supports</w:t>
      </w:r>
      <w:r w:rsidRPr="00244FB5">
        <w:t xml:space="preserve"> </w:t>
      </w:r>
      <w:r w:rsidR="00A85E15">
        <w:t>are</w:t>
      </w:r>
      <w:r w:rsidRPr="00244FB5">
        <w:t xml:space="preserve"> at risk of becoming </w:t>
      </w:r>
      <w:r w:rsidR="0013749A">
        <w:t>too focused</w:t>
      </w:r>
      <w:r w:rsidR="000321AB">
        <w:t xml:space="preserve"> on</w:t>
      </w:r>
      <w:r w:rsidRPr="00244FB5">
        <w:t xml:space="preserve"> trying to fix </w:t>
      </w:r>
      <w:r w:rsidR="00F96E35">
        <w:t>a</w:t>
      </w:r>
      <w:r w:rsidRPr="00244FB5">
        <w:t xml:space="preserve"> person’s disability instead of trying to </w:t>
      </w:r>
      <w:r w:rsidR="00E401BE">
        <w:t>address</w:t>
      </w:r>
      <w:r w:rsidRPr="00244FB5">
        <w:t xml:space="preserve"> the consequences of disability. </w:t>
      </w:r>
      <w:r w:rsidR="001C726F">
        <w:t>O</w:t>
      </w:r>
      <w:r w:rsidRPr="00244FB5">
        <w:t>utcome measure</w:t>
      </w:r>
      <w:r w:rsidR="001C726F">
        <w:t>s</w:t>
      </w:r>
      <w:r w:rsidRPr="00244FB5">
        <w:t xml:space="preserve"> based on </w:t>
      </w:r>
      <w:r w:rsidR="001C726F">
        <w:t>K</w:t>
      </w:r>
      <w:r w:rsidRPr="00244FB5">
        <w:t xml:space="preserve">nowledge Capital in support of Citizenhood can provide clarity on this. </w:t>
      </w:r>
    </w:p>
    <w:p w14:paraId="27DD0497" w14:textId="1EB3F146" w:rsidR="00E85B0C" w:rsidRPr="00244FB5" w:rsidRDefault="00E85B0C" w:rsidP="002D2E62">
      <w:pPr>
        <w:autoSpaceDE w:val="0"/>
        <w:autoSpaceDN w:val="0"/>
        <w:adjustRightInd w:val="0"/>
        <w:spacing w:after="160"/>
      </w:pPr>
      <w:r w:rsidRPr="00244FB5">
        <w:lastRenderedPageBreak/>
        <w:t xml:space="preserve">Meanwhile, it is not unusual for people with disability </w:t>
      </w:r>
      <w:r w:rsidR="00B22601" w:rsidRPr="00244FB5">
        <w:t>receiving</w:t>
      </w:r>
      <w:r w:rsidRPr="00244FB5">
        <w:t xml:space="preserve"> service provision to lose skill</w:t>
      </w:r>
      <w:r w:rsidR="00C73EB9">
        <w:t>s</w:t>
      </w:r>
      <w:r w:rsidRPr="00244FB5">
        <w:t xml:space="preserve"> and knowledge. For all of us, the retention of our skill</w:t>
      </w:r>
      <w:r w:rsidR="00C73EB9">
        <w:t>s</w:t>
      </w:r>
      <w:r w:rsidRPr="00244FB5">
        <w:t xml:space="preserve"> and knowledge is supported by us </w:t>
      </w:r>
      <w:r w:rsidRPr="00244FB5">
        <w:rPr>
          <w:i/>
          <w:iCs/>
        </w:rPr>
        <w:t xml:space="preserve">using </w:t>
      </w:r>
      <w:r w:rsidRPr="00244FB5">
        <w:t xml:space="preserve">our skills and knowledge. Unfortunately, it is not unusual in disability services for the service staff to do things </w:t>
      </w:r>
      <w:r w:rsidRPr="00244FB5">
        <w:rPr>
          <w:i/>
          <w:iCs/>
        </w:rPr>
        <w:t xml:space="preserve">for </w:t>
      </w:r>
      <w:r w:rsidRPr="00244FB5">
        <w:t xml:space="preserve">the person rather than </w:t>
      </w:r>
      <w:r w:rsidRPr="00244FB5">
        <w:rPr>
          <w:i/>
          <w:iCs/>
        </w:rPr>
        <w:t xml:space="preserve">with </w:t>
      </w:r>
      <w:r w:rsidRPr="00244FB5">
        <w:t xml:space="preserve">the person. This is often because it is quicker and more convenient. So, again hopefully with the best of intentions, the service provider inadvertently erodes what the person knows and can do by not giving the time and attention to supporting the person to be centrally involved in those things. </w:t>
      </w:r>
    </w:p>
    <w:p w14:paraId="36B343E5" w14:textId="6582DC75" w:rsidR="00BE441B" w:rsidRDefault="00E85B0C" w:rsidP="002D2E62">
      <w:pPr>
        <w:autoSpaceDE w:val="0"/>
        <w:autoSpaceDN w:val="0"/>
        <w:adjustRightInd w:val="0"/>
        <w:spacing w:after="160"/>
      </w:pPr>
      <w:r w:rsidRPr="00244FB5">
        <w:t xml:space="preserve">Translating this into outcome measures, </w:t>
      </w:r>
      <w:r w:rsidR="003F0FEC">
        <w:t>Governments</w:t>
      </w:r>
      <w:r w:rsidRPr="00244FB5">
        <w:t xml:space="preserve"> might contemplate how to measure the extent </w:t>
      </w:r>
      <w:r w:rsidR="00AF7BB5" w:rsidRPr="00244FB5">
        <w:t>Foundational Supports</w:t>
      </w:r>
      <w:r w:rsidRPr="00244FB5">
        <w:t xml:space="preserve"> are being converted into the growth in, and defence of, participant knowledge and skills that can </w:t>
      </w:r>
      <w:r w:rsidR="002E20E6">
        <w:t xml:space="preserve">maintain and enhance their knowledge and skills and </w:t>
      </w:r>
      <w:r w:rsidR="00C30036">
        <w:t>support</w:t>
      </w:r>
      <w:r w:rsidRPr="00244FB5">
        <w:t xml:space="preserve"> them </w:t>
      </w:r>
      <w:r w:rsidR="00C30036">
        <w:t>in the take up of</w:t>
      </w:r>
      <w:r w:rsidRPr="00244FB5">
        <w:t xml:space="preserve"> valued roles. </w:t>
      </w:r>
    </w:p>
    <w:p w14:paraId="68ABE2A4" w14:textId="77777777" w:rsidR="007F23C3" w:rsidRPr="00D4252C" w:rsidRDefault="007F23C3" w:rsidP="002D2E62">
      <w:pPr>
        <w:autoSpaceDE w:val="0"/>
        <w:autoSpaceDN w:val="0"/>
        <w:adjustRightInd w:val="0"/>
        <w:spacing w:after="160"/>
      </w:pPr>
    </w:p>
    <w:p w14:paraId="302D2679" w14:textId="661E04F2" w:rsidR="00CE2BEC" w:rsidRPr="00244FB5" w:rsidRDefault="00CE2BEC" w:rsidP="00843474">
      <w:pPr>
        <w:pStyle w:val="Heading3"/>
        <w:spacing w:after="160" w:line="360" w:lineRule="auto"/>
        <w:ind w:left="1225" w:hanging="505"/>
      </w:pPr>
      <w:bookmarkStart w:id="6" w:name="_Toc184414869"/>
      <w:r w:rsidRPr="00244FB5">
        <w:t xml:space="preserve">Material </w:t>
      </w:r>
      <w:r w:rsidR="00FE0A8E">
        <w:t>C</w:t>
      </w:r>
      <w:r w:rsidRPr="00244FB5">
        <w:t>apital</w:t>
      </w:r>
      <w:bookmarkEnd w:id="6"/>
      <w:r w:rsidRPr="00244FB5">
        <w:t xml:space="preserve"> </w:t>
      </w:r>
    </w:p>
    <w:p w14:paraId="4F29AD06" w14:textId="57131C54" w:rsidR="00CE2BEC" w:rsidRPr="00244FB5" w:rsidRDefault="00CE2BEC" w:rsidP="002D2E62">
      <w:pPr>
        <w:autoSpaceDE w:val="0"/>
        <w:autoSpaceDN w:val="0"/>
        <w:adjustRightInd w:val="0"/>
        <w:spacing w:after="160"/>
      </w:pPr>
      <w:r w:rsidRPr="00244FB5">
        <w:t xml:space="preserve">The third of the Four Capitals refers to the tangible things in a person’s life. It includes the things </w:t>
      </w:r>
      <w:r w:rsidR="008E4F61">
        <w:t>a</w:t>
      </w:r>
      <w:r w:rsidRPr="00244FB5">
        <w:t xml:space="preserve"> person </w:t>
      </w:r>
      <w:r w:rsidR="008E4F61">
        <w:t xml:space="preserve">has, </w:t>
      </w:r>
      <w:r w:rsidRPr="00244FB5">
        <w:t>owns</w:t>
      </w:r>
      <w:r w:rsidR="008E4F61">
        <w:t>,</w:t>
      </w:r>
      <w:r w:rsidRPr="00244FB5">
        <w:t xml:space="preserve"> or </w:t>
      </w:r>
      <w:r w:rsidR="008E4F61">
        <w:t>is in</w:t>
      </w:r>
      <w:r w:rsidRPr="00244FB5">
        <w:t xml:space="preserve"> control of, </w:t>
      </w:r>
      <w:proofErr w:type="gramStart"/>
      <w:r w:rsidRPr="00244FB5">
        <w:t>and also</w:t>
      </w:r>
      <w:proofErr w:type="gramEnd"/>
      <w:r w:rsidRPr="00244FB5">
        <w:t xml:space="preserve"> the public things the person can access, like </w:t>
      </w:r>
      <w:r w:rsidR="008B64BD">
        <w:t>public transport</w:t>
      </w:r>
      <w:r w:rsidRPr="00244FB5">
        <w:t>, shopping mall</w:t>
      </w:r>
      <w:r w:rsidR="006E042E">
        <w:t>s</w:t>
      </w:r>
      <w:r w:rsidRPr="00244FB5">
        <w:t>, beach</w:t>
      </w:r>
      <w:r w:rsidR="006E042E">
        <w:t>es</w:t>
      </w:r>
      <w:r w:rsidRPr="00244FB5">
        <w:t xml:space="preserve">, community clubs, employment, education, and so on. </w:t>
      </w:r>
    </w:p>
    <w:p w14:paraId="0CDF9A72" w14:textId="213D1995" w:rsidR="00CE2BEC" w:rsidRPr="00244FB5" w:rsidRDefault="00CE2BEC" w:rsidP="002D2E62">
      <w:pPr>
        <w:autoSpaceDE w:val="0"/>
        <w:autoSpaceDN w:val="0"/>
        <w:adjustRightInd w:val="0"/>
        <w:spacing w:after="160"/>
      </w:pPr>
      <w:r w:rsidRPr="00244FB5">
        <w:t xml:space="preserve">There are two important things </w:t>
      </w:r>
      <w:r w:rsidR="004A6072">
        <w:t>Governments</w:t>
      </w:r>
      <w:r w:rsidRPr="00244FB5">
        <w:t xml:space="preserve"> might measure to assess success</w:t>
      </w:r>
      <w:r w:rsidR="009F0DDA">
        <w:t xml:space="preserve"> in building Material </w:t>
      </w:r>
      <w:r w:rsidR="00EC0A01">
        <w:t>Capital</w:t>
      </w:r>
      <w:r w:rsidRPr="00244FB5">
        <w:t xml:space="preserve">. The first is the extent to which </w:t>
      </w:r>
      <w:r w:rsidR="00724A8A" w:rsidRPr="00244FB5">
        <w:t>Foundational Supports can</w:t>
      </w:r>
      <w:r w:rsidRPr="00244FB5">
        <w:t xml:space="preserve"> defend and advance </w:t>
      </w:r>
      <w:r w:rsidR="00724A8A" w:rsidRPr="00244FB5">
        <w:t>people with disability’s</w:t>
      </w:r>
      <w:r w:rsidRPr="00244FB5">
        <w:t xml:space="preserve"> </w:t>
      </w:r>
      <w:r w:rsidR="00E53D1F" w:rsidRPr="00C909AA">
        <w:rPr>
          <w:i/>
          <w:iCs/>
        </w:rPr>
        <w:t>personal</w:t>
      </w:r>
      <w:r w:rsidR="00E53D1F">
        <w:t xml:space="preserve"> </w:t>
      </w:r>
      <w:r w:rsidRPr="00244FB5">
        <w:t xml:space="preserve">Material Capital. For example, </w:t>
      </w:r>
      <w:r w:rsidR="008807A9" w:rsidRPr="00244FB5">
        <w:t>d</w:t>
      </w:r>
      <w:r w:rsidRPr="00244FB5">
        <w:t xml:space="preserve">oes a support provider assist the person to move away from poverty (the relative absence of </w:t>
      </w:r>
      <w:r w:rsidRPr="00C909AA">
        <w:rPr>
          <w:i/>
          <w:iCs/>
        </w:rPr>
        <w:t xml:space="preserve">personal </w:t>
      </w:r>
      <w:r w:rsidRPr="00244FB5">
        <w:t xml:space="preserve">Material Capital) into waged employment where the person has disposable income on the same basis as most non-disabled Australians? </w:t>
      </w:r>
    </w:p>
    <w:p w14:paraId="65EAD7B3" w14:textId="4F4C863F" w:rsidR="00BD40A6" w:rsidRDefault="00CE2BEC" w:rsidP="002D2E62">
      <w:pPr>
        <w:autoSpaceDE w:val="0"/>
        <w:autoSpaceDN w:val="0"/>
        <w:adjustRightInd w:val="0"/>
        <w:spacing w:after="160"/>
      </w:pPr>
      <w:r w:rsidRPr="00244FB5">
        <w:t xml:space="preserve">The second is the extent to which </w:t>
      </w:r>
      <w:r w:rsidR="00D60F8D" w:rsidRPr="00244FB5">
        <w:t>Foundational Supports</w:t>
      </w:r>
      <w:r w:rsidRPr="00244FB5">
        <w:t xml:space="preserve"> assist </w:t>
      </w:r>
      <w:r w:rsidR="005A7116">
        <w:t>a</w:t>
      </w:r>
      <w:r w:rsidRPr="00244FB5">
        <w:t xml:space="preserve"> person </w:t>
      </w:r>
      <w:r w:rsidR="00F20384">
        <w:t xml:space="preserve">to </w:t>
      </w:r>
      <w:r w:rsidRPr="00244FB5">
        <w:t xml:space="preserve">use mainstream community resources – </w:t>
      </w:r>
      <w:r w:rsidRPr="00244FB5">
        <w:rPr>
          <w:i/>
          <w:iCs/>
        </w:rPr>
        <w:t xml:space="preserve">public </w:t>
      </w:r>
      <w:r w:rsidRPr="00244FB5">
        <w:t>Material Capital –</w:t>
      </w:r>
      <w:r w:rsidR="007D24AE">
        <w:t xml:space="preserve"> </w:t>
      </w:r>
      <w:r w:rsidRPr="00244FB5">
        <w:t xml:space="preserve">on the same basis as most non-disabled Australians. This </w:t>
      </w:r>
      <w:r w:rsidR="001C102C">
        <w:t xml:space="preserve">should not be </w:t>
      </w:r>
      <w:r w:rsidRPr="00244FB5">
        <w:t>as a ‘</w:t>
      </w:r>
      <w:r w:rsidR="001C102C">
        <w:t xml:space="preserve">community </w:t>
      </w:r>
      <w:r w:rsidRPr="00244FB5">
        <w:t xml:space="preserve">tourist’ and not in aloneness. </w:t>
      </w:r>
      <w:r w:rsidR="00191561">
        <w:t>Often s</w:t>
      </w:r>
      <w:r w:rsidR="007C2A86">
        <w:t>ervice</w:t>
      </w:r>
      <w:r w:rsidR="00191561">
        <w:t xml:space="preserve"> providers take people into the community</w:t>
      </w:r>
      <w:r w:rsidR="00ED4F8F">
        <w:t xml:space="preserve"> but </w:t>
      </w:r>
      <w:r w:rsidR="007C2A86">
        <w:t>do not support genuine participation or interaction. A person might be taken to a café</w:t>
      </w:r>
      <w:r w:rsidR="00864C11">
        <w:t xml:space="preserve"> and sit in the corner while a support worker </w:t>
      </w:r>
      <w:r w:rsidR="001A1905">
        <w:t xml:space="preserve">transacts </w:t>
      </w:r>
      <w:r w:rsidR="0071250A">
        <w:t>the</w:t>
      </w:r>
      <w:r w:rsidR="001A1905">
        <w:t xml:space="preserve"> order and </w:t>
      </w:r>
      <w:r w:rsidR="00673586">
        <w:t xml:space="preserve">is the only one to speak to staff </w:t>
      </w:r>
      <w:r w:rsidR="006C601F">
        <w:t>or other</w:t>
      </w:r>
      <w:r w:rsidR="000769F4">
        <w:t xml:space="preserve"> customer</w:t>
      </w:r>
      <w:r w:rsidR="006C601F">
        <w:t>s present</w:t>
      </w:r>
      <w:r w:rsidR="000769F4">
        <w:t xml:space="preserve">. As </w:t>
      </w:r>
      <w:r w:rsidR="000769F4">
        <w:lastRenderedPageBreak/>
        <w:t>such</w:t>
      </w:r>
      <w:r w:rsidR="00DE3F5D">
        <w:t>,</w:t>
      </w:r>
      <w:r w:rsidR="000769F4">
        <w:t xml:space="preserve"> the person can be said to be </w:t>
      </w:r>
      <w:r w:rsidR="000769F4">
        <w:rPr>
          <w:i/>
          <w:iCs/>
        </w:rPr>
        <w:t xml:space="preserve">in </w:t>
      </w:r>
      <w:r w:rsidR="000769F4">
        <w:t>the community but is not</w:t>
      </w:r>
      <w:r w:rsidR="008E3427">
        <w:t xml:space="preserve"> a </w:t>
      </w:r>
      <w:r w:rsidR="00187D6C">
        <w:t xml:space="preserve">genuine </w:t>
      </w:r>
      <w:r w:rsidR="008E3427" w:rsidRPr="005B4B92">
        <w:rPr>
          <w:i/>
          <w:iCs/>
        </w:rPr>
        <w:t>part</w:t>
      </w:r>
      <w:r w:rsidR="00C8041E">
        <w:t xml:space="preserve"> of</w:t>
      </w:r>
      <w:r w:rsidR="008E3427">
        <w:t xml:space="preserve"> community life. </w:t>
      </w:r>
      <w:r w:rsidRPr="00244FB5">
        <w:t xml:space="preserve">These are all elements that can be measured as </w:t>
      </w:r>
      <w:r w:rsidR="00F964FE" w:rsidRPr="00244FB5">
        <w:t>Foundational Support</w:t>
      </w:r>
      <w:r w:rsidR="00004FDB">
        <w:t>s</w:t>
      </w:r>
      <w:r w:rsidRPr="00244FB5">
        <w:t xml:space="preserve"> outcomes, </w:t>
      </w:r>
      <w:r w:rsidR="00004FDB">
        <w:t>with the goal</w:t>
      </w:r>
      <w:r w:rsidRPr="00244FB5">
        <w:t xml:space="preserve"> of </w:t>
      </w:r>
      <w:r w:rsidR="005106D7">
        <w:t xml:space="preserve">increasing </w:t>
      </w:r>
      <w:r w:rsidRPr="00244FB5">
        <w:t>social and economic participation</w:t>
      </w:r>
      <w:r w:rsidR="001E5843">
        <w:t xml:space="preserve">, which is a core </w:t>
      </w:r>
      <w:r w:rsidR="004E23C7">
        <w:t xml:space="preserve">purpose of the </w:t>
      </w:r>
      <w:r w:rsidR="001E5843">
        <w:t>NDIS</w:t>
      </w:r>
      <w:r w:rsidRPr="00244FB5">
        <w:t xml:space="preserve">. </w:t>
      </w:r>
    </w:p>
    <w:p w14:paraId="5EB23D0A" w14:textId="77777777" w:rsidR="007F23C3" w:rsidRDefault="007F23C3" w:rsidP="002D2E62">
      <w:pPr>
        <w:autoSpaceDE w:val="0"/>
        <w:autoSpaceDN w:val="0"/>
        <w:adjustRightInd w:val="0"/>
        <w:spacing w:after="160"/>
      </w:pPr>
    </w:p>
    <w:p w14:paraId="5FE0148C" w14:textId="19D9FF05" w:rsidR="00CE2BEC" w:rsidRPr="00244FB5" w:rsidRDefault="00CE2BEC" w:rsidP="00843474">
      <w:pPr>
        <w:pStyle w:val="Heading3"/>
        <w:spacing w:after="160" w:line="360" w:lineRule="auto"/>
        <w:ind w:left="1225" w:hanging="505"/>
      </w:pPr>
      <w:bookmarkStart w:id="7" w:name="_Toc184414870"/>
      <w:r w:rsidRPr="00244FB5">
        <w:t xml:space="preserve">Social </w:t>
      </w:r>
      <w:r w:rsidR="00FE0A8E">
        <w:t>C</w:t>
      </w:r>
      <w:r w:rsidRPr="00244FB5">
        <w:t>apital</w:t>
      </w:r>
      <w:bookmarkEnd w:id="7"/>
      <w:r w:rsidRPr="00244FB5">
        <w:t xml:space="preserve"> </w:t>
      </w:r>
    </w:p>
    <w:p w14:paraId="22BC21BB" w14:textId="6164A200" w:rsidR="00CE2BEC" w:rsidRPr="00244FB5" w:rsidRDefault="00CE2BEC" w:rsidP="002D2E62">
      <w:pPr>
        <w:autoSpaceDE w:val="0"/>
        <w:autoSpaceDN w:val="0"/>
        <w:adjustRightInd w:val="0"/>
        <w:spacing w:after="160"/>
      </w:pPr>
      <w:r w:rsidRPr="00244FB5">
        <w:t xml:space="preserve">The fourth of the Four Capitals refers to the people in our lives. As humans we are interdependent, we give and we take, we live in community where we take up roles that bring value to others, and in turn we gain value from the </w:t>
      </w:r>
      <w:proofErr w:type="gramStart"/>
      <w:r w:rsidRPr="00244FB5">
        <w:t>roles</w:t>
      </w:r>
      <w:proofErr w:type="gramEnd"/>
      <w:r w:rsidRPr="00244FB5">
        <w:t xml:space="preserve"> others take up. But Social Capital is</w:t>
      </w:r>
      <w:r w:rsidR="00533021">
        <w:t xml:space="preserve"> </w:t>
      </w:r>
      <w:r w:rsidRPr="00244FB5">
        <w:t>n</w:t>
      </w:r>
      <w:r w:rsidR="00533021">
        <w:t>o</w:t>
      </w:r>
      <w:r w:rsidRPr="00244FB5">
        <w:t>t just a marketplace of mutual utility. Social Capital is about the relationships that have importance in our lives. In the many workshops</w:t>
      </w:r>
      <w:r w:rsidR="00130EAD">
        <w:t xml:space="preserve"> JFA Purple Orange</w:t>
      </w:r>
      <w:r w:rsidRPr="00244FB5">
        <w:t xml:space="preserve"> ha</w:t>
      </w:r>
      <w:r w:rsidR="00130EAD">
        <w:t>s</w:t>
      </w:r>
      <w:r w:rsidRPr="00244FB5">
        <w:t xml:space="preserve"> run over the years exploring the nature of a good life, themes like </w:t>
      </w:r>
      <w:r w:rsidRPr="00244FB5">
        <w:rPr>
          <w:i/>
          <w:iCs/>
        </w:rPr>
        <w:t xml:space="preserve">family </w:t>
      </w:r>
      <w:r w:rsidRPr="00244FB5">
        <w:t xml:space="preserve">and </w:t>
      </w:r>
      <w:r w:rsidRPr="00244FB5">
        <w:rPr>
          <w:i/>
          <w:iCs/>
        </w:rPr>
        <w:t xml:space="preserve">friends </w:t>
      </w:r>
      <w:r w:rsidRPr="00244FB5">
        <w:t xml:space="preserve">always feature prominently. This taps </w:t>
      </w:r>
      <w:r w:rsidR="00A86B54">
        <w:t xml:space="preserve">into </w:t>
      </w:r>
      <w:r w:rsidRPr="00244FB5">
        <w:t xml:space="preserve">the importance of what it means to </w:t>
      </w:r>
      <w:r w:rsidRPr="00244FB5">
        <w:rPr>
          <w:i/>
          <w:iCs/>
        </w:rPr>
        <w:t>belong</w:t>
      </w:r>
      <w:r w:rsidRPr="00244FB5">
        <w:t xml:space="preserve">, and this sense of belonging is at the heart of social participation. </w:t>
      </w:r>
    </w:p>
    <w:p w14:paraId="1C10B7BB" w14:textId="349D1B53" w:rsidR="00030B3F" w:rsidRPr="00244FB5" w:rsidRDefault="00CD396E" w:rsidP="002D2E62">
      <w:pPr>
        <w:autoSpaceDE w:val="0"/>
        <w:autoSpaceDN w:val="0"/>
        <w:adjustRightInd w:val="0"/>
        <w:spacing w:after="160"/>
      </w:pPr>
      <w:r>
        <w:t>Governments</w:t>
      </w:r>
      <w:r w:rsidR="00CE2BEC" w:rsidRPr="00244FB5">
        <w:t xml:space="preserve"> </w:t>
      </w:r>
      <w:r w:rsidR="00262E2C" w:rsidRPr="00244FB5">
        <w:t xml:space="preserve">should design Foundational Supports </w:t>
      </w:r>
      <w:r w:rsidR="00B762CD">
        <w:t>that both</w:t>
      </w:r>
      <w:r w:rsidR="00CE2BEC" w:rsidRPr="00244FB5">
        <w:t xml:space="preserve"> assist </w:t>
      </w:r>
      <w:r w:rsidR="00F27C6E" w:rsidRPr="00244FB5">
        <w:t>people with disability</w:t>
      </w:r>
      <w:r w:rsidR="00CE2BEC" w:rsidRPr="00244FB5">
        <w:t xml:space="preserve"> to retain connection with the people in their li</w:t>
      </w:r>
      <w:r w:rsidR="00F27C6E" w:rsidRPr="00244FB5">
        <w:t>v</w:t>
      </w:r>
      <w:r w:rsidR="00CE2BEC" w:rsidRPr="00244FB5">
        <w:t>e</w:t>
      </w:r>
      <w:r w:rsidR="00F27C6E" w:rsidRPr="00244FB5">
        <w:t>s</w:t>
      </w:r>
      <w:r w:rsidR="00BB758A" w:rsidRPr="00244FB5">
        <w:t xml:space="preserve"> who are</w:t>
      </w:r>
      <w:r w:rsidR="00CE2BEC" w:rsidRPr="00244FB5">
        <w:t xml:space="preserve"> important to them, and </w:t>
      </w:r>
      <w:r w:rsidR="00504A9A">
        <w:t>to enable</w:t>
      </w:r>
      <w:r w:rsidR="00CE2BEC" w:rsidRPr="00244FB5">
        <w:t xml:space="preserve"> </w:t>
      </w:r>
      <w:r w:rsidR="00BB758A" w:rsidRPr="00244FB5">
        <w:t xml:space="preserve">them </w:t>
      </w:r>
      <w:r w:rsidR="00CE2BEC" w:rsidRPr="00244FB5">
        <w:t xml:space="preserve">to </w:t>
      </w:r>
      <w:r w:rsidR="00610698">
        <w:t>make</w:t>
      </w:r>
      <w:r w:rsidR="00CE2BEC" w:rsidRPr="00244FB5">
        <w:t xml:space="preserve"> new social connections, particularly if the p</w:t>
      </w:r>
      <w:r w:rsidR="00BB758A" w:rsidRPr="00244FB5">
        <w:t>erson with disability</w:t>
      </w:r>
      <w:r w:rsidR="00CE2BEC" w:rsidRPr="00244FB5">
        <w:t xml:space="preserve"> has low Social Capital. This is important because many </w:t>
      </w:r>
      <w:r w:rsidR="00BB758A" w:rsidRPr="00244FB5">
        <w:t>people with disability</w:t>
      </w:r>
      <w:r w:rsidR="00CE2BEC" w:rsidRPr="00244FB5">
        <w:t xml:space="preserve"> will likely have levels of Social Capital where the only people in their lives, other than core family, might be other people</w:t>
      </w:r>
      <w:r w:rsidR="006531B1">
        <w:t xml:space="preserve"> </w:t>
      </w:r>
      <w:r w:rsidR="00CE2BEC" w:rsidRPr="00244FB5">
        <w:t>with disabilit</w:t>
      </w:r>
      <w:r w:rsidR="00BB758A" w:rsidRPr="00244FB5">
        <w:t>y</w:t>
      </w:r>
      <w:r w:rsidR="00CE2BEC" w:rsidRPr="00244FB5">
        <w:t xml:space="preserve">. It is a cliché of otherness to assume that the only friends a disabled person can have </w:t>
      </w:r>
      <w:r w:rsidR="005407EE">
        <w:t xml:space="preserve">are </w:t>
      </w:r>
      <w:r w:rsidR="00CE2BEC" w:rsidRPr="00244FB5">
        <w:t xml:space="preserve">other disabled people. </w:t>
      </w:r>
    </w:p>
    <w:p w14:paraId="510D9BBF" w14:textId="2E08E5F8" w:rsidR="00072D45" w:rsidRDefault="00030B3F" w:rsidP="002D2E62">
      <w:pPr>
        <w:autoSpaceDE w:val="0"/>
        <w:autoSpaceDN w:val="0"/>
        <w:adjustRightInd w:val="0"/>
        <w:spacing w:after="160"/>
      </w:pPr>
      <w:r w:rsidRPr="00244FB5">
        <w:t xml:space="preserve">Outside of the family each of us was born into or raised in, the most meaningful relationships in our lives – partners, best friends, close friends, sincere acquaintanceships – begin with meeting each of these people for the first time. If that first encounter does not happen, nothing else can follow. This can be a key outcome measure for </w:t>
      </w:r>
      <w:r w:rsidR="0019780D" w:rsidRPr="00244FB5">
        <w:t>Foundational Supports</w:t>
      </w:r>
      <w:r w:rsidRPr="00244FB5">
        <w:t xml:space="preserve">; the extent to which </w:t>
      </w:r>
      <w:r w:rsidR="0019780D" w:rsidRPr="00244FB5">
        <w:t>they</w:t>
      </w:r>
      <w:r w:rsidRPr="00244FB5">
        <w:t xml:space="preserve"> assist </w:t>
      </w:r>
      <w:r w:rsidR="0019780D" w:rsidRPr="00244FB5">
        <w:t>people with disability</w:t>
      </w:r>
      <w:r w:rsidRPr="00244FB5">
        <w:t xml:space="preserve"> into new connections and </w:t>
      </w:r>
      <w:r w:rsidR="002C282A">
        <w:t xml:space="preserve">relationships, </w:t>
      </w:r>
      <w:r w:rsidRPr="00244FB5">
        <w:t>thereby grow</w:t>
      </w:r>
      <w:r w:rsidR="002C282A">
        <w:t>ing</w:t>
      </w:r>
      <w:r w:rsidRPr="00244FB5">
        <w:t xml:space="preserve"> their Social Capital.</w:t>
      </w:r>
      <w:r w:rsidR="00B93966">
        <w:t xml:space="preserve"> </w:t>
      </w:r>
    </w:p>
    <w:p w14:paraId="71D6116B" w14:textId="261D8317" w:rsidR="00AB46B3" w:rsidRDefault="00AB46B3" w:rsidP="002D2E62">
      <w:pPr>
        <w:autoSpaceDE w:val="0"/>
        <w:autoSpaceDN w:val="0"/>
        <w:adjustRightInd w:val="0"/>
        <w:spacing w:after="160"/>
      </w:pPr>
      <w:r>
        <w:t>To explore the Four Capitals in greater detail</w:t>
      </w:r>
      <w:r w:rsidR="00A32DE2">
        <w:t xml:space="preserve">, please access the </w:t>
      </w:r>
      <w:r w:rsidR="00604677">
        <w:t xml:space="preserve">full </w:t>
      </w:r>
      <w:r w:rsidR="001028DB">
        <w:t xml:space="preserve">Model of Citizenhood </w:t>
      </w:r>
      <w:r w:rsidR="00693F1B">
        <w:t xml:space="preserve">Support paper </w:t>
      </w:r>
      <w:hyperlink r:id="rId12" w:history="1">
        <w:r w:rsidR="00693F1B" w:rsidRPr="00D9660B">
          <w:rPr>
            <w:rStyle w:val="Hyperlink"/>
          </w:rPr>
          <w:t>here</w:t>
        </w:r>
      </w:hyperlink>
      <w:r w:rsidR="00693F1B">
        <w:t>.</w:t>
      </w:r>
    </w:p>
    <w:p w14:paraId="4A068E42" w14:textId="2C7DBD2E" w:rsidR="00511F14" w:rsidRDefault="00C0434D" w:rsidP="002D2E62">
      <w:pPr>
        <w:pStyle w:val="Heading2"/>
        <w:spacing w:after="160" w:line="360" w:lineRule="auto"/>
      </w:pPr>
      <w:bookmarkStart w:id="8" w:name="_Toc184414871"/>
      <w:r>
        <w:lastRenderedPageBreak/>
        <w:t xml:space="preserve">Embedding Citizenhood in </w:t>
      </w:r>
      <w:r w:rsidR="00AC7130">
        <w:t>the</w:t>
      </w:r>
      <w:r>
        <w:t xml:space="preserve"> Foundation Supports Strategy</w:t>
      </w:r>
      <w:bookmarkEnd w:id="8"/>
    </w:p>
    <w:p w14:paraId="7FBFF77F" w14:textId="07DE5538" w:rsidR="00F83FDC" w:rsidRPr="00244FB5" w:rsidRDefault="00AB46B3" w:rsidP="002D2E62">
      <w:pPr>
        <w:autoSpaceDE w:val="0"/>
        <w:autoSpaceDN w:val="0"/>
        <w:adjustRightInd w:val="0"/>
        <w:spacing w:after="160"/>
      </w:pPr>
      <w:r>
        <w:t>We strongly believe governments</w:t>
      </w:r>
      <w:r w:rsidR="00F83FDC" w:rsidRPr="00244FB5">
        <w:t xml:space="preserve"> can </w:t>
      </w:r>
      <w:r>
        <w:t>initiate</w:t>
      </w:r>
      <w:r w:rsidR="00F83FDC" w:rsidRPr="00244FB5">
        <w:t xml:space="preserve"> a fresh approach </w:t>
      </w:r>
      <w:r w:rsidR="00F455AF">
        <w:t>in</w:t>
      </w:r>
      <w:r w:rsidR="00E24FB0" w:rsidRPr="00244FB5">
        <w:t xml:space="preserve"> designing Foundational Supports</w:t>
      </w:r>
      <w:r w:rsidR="00F455AF">
        <w:t xml:space="preserve"> </w:t>
      </w:r>
      <w:r w:rsidR="003A0FC3">
        <w:t xml:space="preserve">underpinned </w:t>
      </w:r>
      <w:r w:rsidR="002E2E22">
        <w:t>by the Citizenhood framework</w:t>
      </w:r>
      <w:r w:rsidR="00B15F8A">
        <w:t xml:space="preserve"> with outcomes </w:t>
      </w:r>
      <w:r w:rsidR="00BF3245">
        <w:t>measurement</w:t>
      </w:r>
      <w:r w:rsidR="00F83FDC" w:rsidRPr="00244FB5">
        <w:t xml:space="preserve"> based on quantifying the extent to which </w:t>
      </w:r>
      <w:r w:rsidR="0082464F">
        <w:t>they</w:t>
      </w:r>
      <w:r w:rsidR="006C67D6" w:rsidRPr="00244FB5">
        <w:t xml:space="preserve"> are</w:t>
      </w:r>
      <w:r w:rsidR="00F83FDC" w:rsidRPr="00244FB5">
        <w:t xml:space="preserve"> </w:t>
      </w:r>
      <w:r w:rsidR="004E4569">
        <w:t xml:space="preserve">advancing </w:t>
      </w:r>
      <w:r w:rsidR="00283E56">
        <w:t xml:space="preserve">the Four Capitals and </w:t>
      </w:r>
      <w:r w:rsidR="00F83FDC" w:rsidRPr="00244FB5">
        <w:t xml:space="preserve">lifting </w:t>
      </w:r>
      <w:r w:rsidR="006172CA">
        <w:t xml:space="preserve">people with </w:t>
      </w:r>
      <w:r w:rsidR="004E4569">
        <w:t>disability</w:t>
      </w:r>
      <w:r w:rsidR="00F83FDC" w:rsidRPr="00244FB5">
        <w:t xml:space="preserve"> into valued roles in community and econom</w:t>
      </w:r>
      <w:r w:rsidR="006172CA">
        <w:t>ic life</w:t>
      </w:r>
      <w:r w:rsidR="00F83FDC" w:rsidRPr="00244FB5">
        <w:t xml:space="preserve">. A set of example measures are set out in </w:t>
      </w:r>
      <w:r w:rsidR="00191CA8">
        <w:t xml:space="preserve">Section 10 of </w:t>
      </w:r>
      <w:r w:rsidR="00F83FDC" w:rsidRPr="00244FB5">
        <w:t>the 2013 edition of the Model of Citizenhood Support</w:t>
      </w:r>
      <w:r w:rsidR="00E2213F">
        <w:t xml:space="preserve"> available </w:t>
      </w:r>
      <w:hyperlink r:id="rId13" w:history="1">
        <w:r w:rsidR="00E2213F" w:rsidRPr="00990CEE">
          <w:rPr>
            <w:rStyle w:val="Hyperlink"/>
          </w:rPr>
          <w:t>here</w:t>
        </w:r>
      </w:hyperlink>
      <w:r w:rsidR="00F83FDC" w:rsidRPr="00244FB5">
        <w:t xml:space="preserve">. </w:t>
      </w:r>
    </w:p>
    <w:p w14:paraId="557E390D" w14:textId="3711751F" w:rsidR="00372543" w:rsidRDefault="00F16E90" w:rsidP="002D2E62">
      <w:pPr>
        <w:autoSpaceDE w:val="0"/>
        <w:autoSpaceDN w:val="0"/>
        <w:adjustRightInd w:val="0"/>
        <w:spacing w:after="160"/>
      </w:pPr>
      <w:r w:rsidRPr="00244FB5">
        <w:t>T</w:t>
      </w:r>
      <w:r w:rsidR="00F83FDC" w:rsidRPr="00244FB5">
        <w:t>here are standardised outcome measure</w:t>
      </w:r>
      <w:r w:rsidR="001A44C1">
        <w:t>ment</w:t>
      </w:r>
      <w:r w:rsidR="00F83FDC" w:rsidRPr="00244FB5">
        <w:t xml:space="preserve"> tools that </w:t>
      </w:r>
      <w:r w:rsidR="008D0466">
        <w:t>governments could use</w:t>
      </w:r>
      <w:r w:rsidR="001A44C1">
        <w:t xml:space="preserve"> to evaluate the success of Foundational Supports</w:t>
      </w:r>
      <w:r w:rsidR="00F83FDC" w:rsidRPr="00244FB5">
        <w:t xml:space="preserve">, but </w:t>
      </w:r>
      <w:r w:rsidR="001A44C1">
        <w:t xml:space="preserve">these are </w:t>
      </w:r>
      <w:r w:rsidR="00270792">
        <w:t>generally not focused o</w:t>
      </w:r>
      <w:r w:rsidR="00F71F9A">
        <w:t xml:space="preserve">n the goal of </w:t>
      </w:r>
      <w:r w:rsidR="00E6167C">
        <w:t>building life chances</w:t>
      </w:r>
      <w:r w:rsidR="00F83FDC" w:rsidRPr="00244FB5">
        <w:t xml:space="preserve">. </w:t>
      </w:r>
      <w:r w:rsidR="00E6167C">
        <w:t>Many</w:t>
      </w:r>
      <w:r w:rsidR="00F83FDC" w:rsidRPr="00244FB5">
        <w:t xml:space="preserve"> of these tools still include considerations of impairment</w:t>
      </w:r>
      <w:r w:rsidR="00E6167C">
        <w:t xml:space="preserve"> rather than the consequences of disability</w:t>
      </w:r>
      <w:r w:rsidR="00F83FDC" w:rsidRPr="00244FB5">
        <w:t xml:space="preserve">. </w:t>
      </w:r>
      <w:r w:rsidR="00C20282" w:rsidRPr="00244FB5">
        <w:t>W</w:t>
      </w:r>
      <w:r w:rsidR="00F83FDC" w:rsidRPr="00244FB5">
        <w:t xml:space="preserve">e </w:t>
      </w:r>
      <w:r w:rsidR="00E26945">
        <w:t>believe</w:t>
      </w:r>
      <w:r w:rsidR="00F83FDC" w:rsidRPr="00244FB5">
        <w:t xml:space="preserve"> </w:t>
      </w:r>
      <w:r w:rsidR="00DA2880">
        <w:t xml:space="preserve">the design of </w:t>
      </w:r>
      <w:r w:rsidR="00047A17" w:rsidRPr="00244FB5">
        <w:t>Foundational Supports</w:t>
      </w:r>
      <w:r w:rsidR="00F83FDC" w:rsidRPr="00244FB5">
        <w:t xml:space="preserve"> </w:t>
      </w:r>
      <w:r w:rsidR="00DA2880">
        <w:t>should involve the</w:t>
      </w:r>
      <w:r w:rsidR="00F83FDC" w:rsidRPr="00244FB5">
        <w:t xml:space="preserve"> </w:t>
      </w:r>
      <w:r w:rsidR="00047A17" w:rsidRPr="00244FB5">
        <w:t>develop</w:t>
      </w:r>
      <w:r w:rsidR="00DA2880">
        <w:t>ment of</w:t>
      </w:r>
      <w:r w:rsidR="00F83FDC" w:rsidRPr="00244FB5">
        <w:t xml:space="preserve"> </w:t>
      </w:r>
      <w:r w:rsidR="006855C9">
        <w:t>bespoke</w:t>
      </w:r>
      <w:r w:rsidR="00F83FDC" w:rsidRPr="00244FB5">
        <w:t xml:space="preserve"> and reliable outcome measures</w:t>
      </w:r>
      <w:r w:rsidR="006855C9">
        <w:t xml:space="preserve"> directly linked to the achievement of the purpose of Foundational Supports</w:t>
      </w:r>
      <w:r w:rsidR="00F83FDC" w:rsidRPr="00244FB5">
        <w:t>, and that such measures should be anchored on the take up, and defence of</w:t>
      </w:r>
      <w:r w:rsidR="003B38BA">
        <w:t>,</w:t>
      </w:r>
      <w:r w:rsidR="00F83FDC" w:rsidRPr="00244FB5">
        <w:t xml:space="preserve"> valued roles in mainstream community life.</w:t>
      </w:r>
      <w:r w:rsidR="00030B3F" w:rsidRPr="00030B3F">
        <w:t xml:space="preserve"> </w:t>
      </w:r>
    </w:p>
    <w:p w14:paraId="32D43472" w14:textId="28C084E7" w:rsidR="00F83FDC" w:rsidRPr="00362647" w:rsidRDefault="00372543" w:rsidP="00EA774C">
      <w:pPr>
        <w:autoSpaceDE w:val="0"/>
        <w:autoSpaceDN w:val="0"/>
        <w:adjustRightInd w:val="0"/>
        <w:spacing w:after="160"/>
      </w:pPr>
      <w:bookmarkStart w:id="9" w:name="_Hlk184408790"/>
      <w:r w:rsidRPr="007D179E">
        <w:rPr>
          <w:rStyle w:val="Heading4Char"/>
        </w:rPr>
        <w:t>Recommendation 1:</w:t>
      </w:r>
      <w:r>
        <w:rPr>
          <w:b/>
          <w:bCs/>
          <w:color w:val="7030A0"/>
        </w:rPr>
        <w:t xml:space="preserve"> </w:t>
      </w:r>
      <w:r w:rsidRPr="00125104">
        <w:rPr>
          <w:b/>
          <w:bCs/>
        </w:rPr>
        <w:t xml:space="preserve">The </w:t>
      </w:r>
      <w:r w:rsidR="00123AEA">
        <w:rPr>
          <w:b/>
          <w:bCs/>
        </w:rPr>
        <w:t>Australian Government</w:t>
      </w:r>
      <w:r w:rsidRPr="00125104">
        <w:rPr>
          <w:b/>
          <w:bCs/>
        </w:rPr>
        <w:t xml:space="preserve"> should </w:t>
      </w:r>
      <w:r w:rsidR="003B4D35">
        <w:rPr>
          <w:b/>
          <w:bCs/>
        </w:rPr>
        <w:t xml:space="preserve">use the </w:t>
      </w:r>
      <w:r w:rsidR="00FD5EE0">
        <w:rPr>
          <w:b/>
          <w:bCs/>
        </w:rPr>
        <w:t xml:space="preserve">Model of </w:t>
      </w:r>
      <w:r w:rsidR="003B4D35">
        <w:rPr>
          <w:b/>
          <w:bCs/>
        </w:rPr>
        <w:t xml:space="preserve">Citizenhood </w:t>
      </w:r>
      <w:r w:rsidR="00FD5EE0">
        <w:rPr>
          <w:b/>
          <w:bCs/>
        </w:rPr>
        <w:t xml:space="preserve">Support </w:t>
      </w:r>
      <w:r w:rsidR="002278E3">
        <w:rPr>
          <w:b/>
          <w:bCs/>
        </w:rPr>
        <w:t xml:space="preserve">to inform the design of </w:t>
      </w:r>
      <w:r w:rsidR="00DE6780">
        <w:rPr>
          <w:b/>
          <w:bCs/>
        </w:rPr>
        <w:t xml:space="preserve">a coherent and comprehensive national </w:t>
      </w:r>
      <w:r w:rsidR="002278E3">
        <w:rPr>
          <w:b/>
          <w:bCs/>
        </w:rPr>
        <w:t xml:space="preserve">Foundational Supports </w:t>
      </w:r>
      <w:r w:rsidR="00DE6780">
        <w:rPr>
          <w:b/>
          <w:bCs/>
        </w:rPr>
        <w:t xml:space="preserve">Strategy </w:t>
      </w:r>
      <w:r w:rsidR="00D37D15">
        <w:rPr>
          <w:b/>
          <w:bCs/>
        </w:rPr>
        <w:t xml:space="preserve">and measure </w:t>
      </w:r>
      <w:r w:rsidR="00EC6FD3">
        <w:rPr>
          <w:b/>
          <w:bCs/>
        </w:rPr>
        <w:t>its</w:t>
      </w:r>
      <w:r w:rsidR="00D37D15">
        <w:rPr>
          <w:b/>
          <w:bCs/>
        </w:rPr>
        <w:t xml:space="preserve"> impact </w:t>
      </w:r>
      <w:r w:rsidR="004E5DB6">
        <w:rPr>
          <w:b/>
          <w:bCs/>
        </w:rPr>
        <w:t xml:space="preserve">based on </w:t>
      </w:r>
      <w:r w:rsidR="002278E3">
        <w:rPr>
          <w:b/>
          <w:bCs/>
        </w:rPr>
        <w:t>assessing how</w:t>
      </w:r>
      <w:r w:rsidR="003B4D35">
        <w:rPr>
          <w:b/>
          <w:bCs/>
        </w:rPr>
        <w:t xml:space="preserve"> </w:t>
      </w:r>
      <w:r w:rsidR="00135FFF">
        <w:rPr>
          <w:b/>
          <w:bCs/>
        </w:rPr>
        <w:t xml:space="preserve">supports </w:t>
      </w:r>
      <w:r w:rsidR="00DD5AF3">
        <w:rPr>
          <w:b/>
          <w:bCs/>
        </w:rPr>
        <w:t>build th</w:t>
      </w:r>
      <w:r w:rsidR="000B7684">
        <w:rPr>
          <w:b/>
          <w:bCs/>
        </w:rPr>
        <w:t>e Four Capitals</w:t>
      </w:r>
      <w:r w:rsidR="00EC6FD3">
        <w:rPr>
          <w:b/>
          <w:bCs/>
        </w:rPr>
        <w:t xml:space="preserve"> </w:t>
      </w:r>
      <w:r w:rsidR="00307A54">
        <w:rPr>
          <w:b/>
          <w:bCs/>
        </w:rPr>
        <w:t>to</w:t>
      </w:r>
      <w:r w:rsidR="00EC6FD3">
        <w:rPr>
          <w:b/>
          <w:bCs/>
        </w:rPr>
        <w:t xml:space="preserve"> </w:t>
      </w:r>
      <w:r w:rsidR="006A3530">
        <w:rPr>
          <w:b/>
          <w:bCs/>
        </w:rPr>
        <w:t>enhance</w:t>
      </w:r>
      <w:r w:rsidR="00FC7E6A">
        <w:rPr>
          <w:b/>
          <w:bCs/>
        </w:rPr>
        <w:t xml:space="preserve"> the life chan</w:t>
      </w:r>
      <w:r w:rsidR="008F5655">
        <w:rPr>
          <w:b/>
          <w:bCs/>
        </w:rPr>
        <w:t>c</w:t>
      </w:r>
      <w:r w:rsidR="00FC7E6A">
        <w:rPr>
          <w:b/>
          <w:bCs/>
        </w:rPr>
        <w:t xml:space="preserve">es of </w:t>
      </w:r>
      <w:r w:rsidR="00307A54">
        <w:rPr>
          <w:b/>
          <w:bCs/>
        </w:rPr>
        <w:t>people with disability</w:t>
      </w:r>
      <w:r w:rsidR="000B7684">
        <w:rPr>
          <w:b/>
          <w:bCs/>
        </w:rPr>
        <w:t>.</w:t>
      </w:r>
      <w:bookmarkEnd w:id="9"/>
      <w:r w:rsidR="002278E3">
        <w:rPr>
          <w:b/>
          <w:bCs/>
        </w:rPr>
        <w:t xml:space="preserve"> </w:t>
      </w:r>
      <w:r w:rsidR="00916D7C">
        <w:br w:type="page"/>
      </w:r>
    </w:p>
    <w:p w14:paraId="623F57CF" w14:textId="2DC132D0" w:rsidR="005C1237" w:rsidRDefault="0003457E" w:rsidP="00235A9A">
      <w:pPr>
        <w:pStyle w:val="Heading1"/>
        <w:spacing w:after="160" w:line="360" w:lineRule="auto"/>
      </w:pPr>
      <w:bookmarkStart w:id="10" w:name="_Toc184414872"/>
      <w:r>
        <w:lastRenderedPageBreak/>
        <w:t>Designing Foundational Supports</w:t>
      </w:r>
      <w:bookmarkEnd w:id="10"/>
    </w:p>
    <w:p w14:paraId="32516AC8" w14:textId="6D5898FE" w:rsidR="004E1C6D" w:rsidRDefault="006A3530" w:rsidP="00235A9A">
      <w:pPr>
        <w:spacing w:after="160"/>
      </w:pPr>
      <w:r>
        <w:t>The design of</w:t>
      </w:r>
      <w:r w:rsidR="007943B7">
        <w:t xml:space="preserve"> Foundational Supports</w:t>
      </w:r>
      <w:r>
        <w:t xml:space="preserve"> presents a significant opportunity to </w:t>
      </w:r>
      <w:r w:rsidR="00832961">
        <w:t xml:space="preserve">adopt a fresh </w:t>
      </w:r>
      <w:r w:rsidR="00623177">
        <w:t xml:space="preserve">contemporary approach to supports for Australians with </w:t>
      </w:r>
      <w:r w:rsidR="00357709">
        <w:t xml:space="preserve">disability </w:t>
      </w:r>
      <w:r w:rsidR="00AC5BC0">
        <w:t>that reflect</w:t>
      </w:r>
      <w:r w:rsidR="00025C67">
        <w:t>s</w:t>
      </w:r>
      <w:r w:rsidR="00357709">
        <w:t xml:space="preserve"> the Social Model of Disability. </w:t>
      </w:r>
      <w:r w:rsidR="00FE4283">
        <w:t>It can also</w:t>
      </w:r>
      <w:r w:rsidR="004C4096">
        <w:t xml:space="preserve"> address the fragmentation and </w:t>
      </w:r>
      <w:r w:rsidR="00E63CDD">
        <w:t xml:space="preserve">departmental </w:t>
      </w:r>
      <w:r w:rsidR="004C4096">
        <w:t xml:space="preserve">buck passing </w:t>
      </w:r>
      <w:r w:rsidR="00321B94">
        <w:t>that</w:t>
      </w:r>
      <w:r w:rsidR="005451D9">
        <w:t xml:space="preserve"> </w:t>
      </w:r>
      <w:r w:rsidR="00DA113E">
        <w:t>occurs too often under existing arrangements</w:t>
      </w:r>
      <w:r w:rsidR="0041398F">
        <w:t xml:space="preserve"> and creates </w:t>
      </w:r>
      <w:r w:rsidR="00DE07AF">
        <w:t>barriers to people accessing the supports they need</w:t>
      </w:r>
      <w:r w:rsidR="00DA113E">
        <w:t xml:space="preserve">. </w:t>
      </w:r>
      <w:r w:rsidR="00306E5F">
        <w:t xml:space="preserve">We are concerned that much of the public commentary so far has been dominated by questions of who pays for what </w:t>
      </w:r>
      <w:r w:rsidR="00E11BAE">
        <w:t xml:space="preserve">and not on the opportunity to </w:t>
      </w:r>
      <w:r w:rsidR="003A7F99">
        <w:t xml:space="preserve">develop </w:t>
      </w:r>
      <w:r w:rsidR="00733530">
        <w:t xml:space="preserve">an effective cohesive approach </w:t>
      </w:r>
      <w:r w:rsidR="00846740">
        <w:t xml:space="preserve">that will </w:t>
      </w:r>
      <w:r w:rsidR="009C05F5">
        <w:t xml:space="preserve">ultimately be </w:t>
      </w:r>
      <w:r w:rsidR="00293F84">
        <w:t xml:space="preserve">more cost-effective over the long-term. </w:t>
      </w:r>
      <w:r w:rsidR="00004E4F">
        <w:t xml:space="preserve">We hope </w:t>
      </w:r>
      <w:r w:rsidR="00E157BC">
        <w:t>th</w:t>
      </w:r>
      <w:r w:rsidR="00660B3A">
        <w:t xml:space="preserve">is consultation </w:t>
      </w:r>
      <w:r w:rsidR="00B667BF">
        <w:t xml:space="preserve">will </w:t>
      </w:r>
      <w:r w:rsidR="00ED37B4">
        <w:t xml:space="preserve">help to </w:t>
      </w:r>
      <w:r w:rsidR="00B667BF">
        <w:t xml:space="preserve">shift </w:t>
      </w:r>
      <w:r w:rsidR="00750315">
        <w:t xml:space="preserve">that narrative. </w:t>
      </w:r>
    </w:p>
    <w:p w14:paraId="76613E88" w14:textId="66CB0A69" w:rsidR="00371976" w:rsidRDefault="00371976" w:rsidP="00235A9A">
      <w:pPr>
        <w:spacing w:after="160"/>
      </w:pPr>
      <w:r>
        <w:t>T</w:t>
      </w:r>
      <w:r w:rsidRPr="00371976">
        <w:t>he NDIS Review Final Report recommended the creation of a unified system where all parts work cohesively together to support people with disability. It also made clear that all elements of the current arrangements should continue until alternatives are in place and working well.</w:t>
      </w:r>
      <w:r w:rsidR="004357CA">
        <w:rPr>
          <w:rStyle w:val="FootnoteReference"/>
        </w:rPr>
        <w:footnoteReference w:id="8"/>
      </w:r>
      <w:r w:rsidRPr="00371976">
        <w:t xml:space="preserve"> </w:t>
      </w:r>
      <w:r w:rsidR="007414F9">
        <w:t>Concerningly</w:t>
      </w:r>
      <w:r w:rsidRPr="00371976">
        <w:t xml:space="preserve">, a new definition of ‘NDIS supports’ </w:t>
      </w:r>
      <w:r w:rsidR="00BF699F">
        <w:t xml:space="preserve">was introduced </w:t>
      </w:r>
      <w:r w:rsidR="001B2DC9">
        <w:t xml:space="preserve">into the </w:t>
      </w:r>
      <w:r w:rsidR="006E67F4">
        <w:t xml:space="preserve">Act governing the Scheme </w:t>
      </w:r>
      <w:r w:rsidR="00BF699F">
        <w:t xml:space="preserve">prior to </w:t>
      </w:r>
      <w:r w:rsidRPr="00371976">
        <w:t>the Foundation Supports Strategy framework</w:t>
      </w:r>
      <w:r w:rsidR="008D140A">
        <w:t xml:space="preserve"> being designed,</w:t>
      </w:r>
      <w:r w:rsidRPr="00371976">
        <w:t xml:space="preserve"> funded, and implemented. </w:t>
      </w:r>
      <w:r w:rsidR="003C1371">
        <w:t>Steps like this</w:t>
      </w:r>
      <w:r w:rsidR="000D178E">
        <w:t xml:space="preserve"> </w:t>
      </w:r>
      <w:r w:rsidR="009D5FAE">
        <w:t xml:space="preserve">will </w:t>
      </w:r>
      <w:r w:rsidR="0028738E">
        <w:t>jeopardis</w:t>
      </w:r>
      <w:r w:rsidR="00154B87">
        <w:t>e</w:t>
      </w:r>
      <w:r w:rsidR="0028738E">
        <w:t xml:space="preserve"> </w:t>
      </w:r>
      <w:r w:rsidR="009D5FAE">
        <w:t>the overall coherence of the NDIS Review’s ‘vision for an integrated, graduated model of supports’</w:t>
      </w:r>
      <w:r w:rsidR="00C031C2">
        <w:t>, as depicted in the Final Report.</w:t>
      </w:r>
      <w:r w:rsidR="00C031C2">
        <w:rPr>
          <w:rStyle w:val="FootnoteReference"/>
        </w:rPr>
        <w:footnoteReference w:id="9"/>
      </w:r>
      <w:r w:rsidR="00C031C2">
        <w:t xml:space="preserve"> </w:t>
      </w:r>
      <w:r w:rsidR="00020335">
        <w:t>Going forward, it is essential that the design</w:t>
      </w:r>
      <w:r w:rsidR="00354C8C">
        <w:t xml:space="preserve"> of each element of the model occurs with a view to delivering a </w:t>
      </w:r>
      <w:r w:rsidR="00F86A80">
        <w:t>comprehensive</w:t>
      </w:r>
      <w:r w:rsidR="00354C8C">
        <w:t xml:space="preserve"> holistic approach where </w:t>
      </w:r>
      <w:r w:rsidR="00F86A80">
        <w:t xml:space="preserve">each part of the system works well with all other parts. </w:t>
      </w:r>
      <w:r w:rsidR="0002517F">
        <w:t xml:space="preserve">As </w:t>
      </w:r>
      <w:r w:rsidR="009C7B61">
        <w:t xml:space="preserve">some categories of support or programs transition from </w:t>
      </w:r>
      <w:r w:rsidR="00C5499B">
        <w:t>individual plan-funded supports</w:t>
      </w:r>
      <w:r w:rsidR="009C7B61">
        <w:t xml:space="preserve"> or </w:t>
      </w:r>
      <w:r w:rsidR="00440537">
        <w:t xml:space="preserve">the </w:t>
      </w:r>
      <w:r w:rsidR="009C7B61">
        <w:t>I</w:t>
      </w:r>
      <w:r w:rsidR="00440537">
        <w:t>nformation, Linkages, and Capacity Building</w:t>
      </w:r>
      <w:r w:rsidR="009C7B61">
        <w:t xml:space="preserve"> </w:t>
      </w:r>
      <w:r w:rsidR="00440537">
        <w:t xml:space="preserve">(ILC) </w:t>
      </w:r>
      <w:r w:rsidR="009C7B61">
        <w:t>Program to</w:t>
      </w:r>
      <w:r w:rsidR="00976F86">
        <w:t xml:space="preserve"> falling under the auspices of</w:t>
      </w:r>
      <w:r w:rsidRPr="00371976">
        <w:t xml:space="preserve"> Foundational Supports</w:t>
      </w:r>
      <w:r w:rsidR="00976F86">
        <w:t xml:space="preserve">, it is </w:t>
      </w:r>
      <w:r w:rsidR="00B24D61">
        <w:t>critical that</w:t>
      </w:r>
      <w:r w:rsidR="00C83196">
        <w:t xml:space="preserve"> existing supports and programs continue </w:t>
      </w:r>
      <w:r w:rsidR="009A1604">
        <w:t xml:space="preserve">until their equivalent Foundational Support replacements </w:t>
      </w:r>
      <w:r w:rsidR="009B4534">
        <w:t>are in place</w:t>
      </w:r>
      <w:r w:rsidRPr="00371976">
        <w:t>. </w:t>
      </w:r>
      <w:r w:rsidR="0020202D">
        <w:t xml:space="preserve"> </w:t>
      </w:r>
    </w:p>
    <w:p w14:paraId="0226B702" w14:textId="0558A940" w:rsidR="009838FE" w:rsidRDefault="009838FE" w:rsidP="00F56CB4">
      <w:pPr>
        <w:spacing w:after="160"/>
      </w:pPr>
      <w:r>
        <w:t xml:space="preserve">In this section, we </w:t>
      </w:r>
      <w:r w:rsidR="00EC0A01">
        <w:t xml:space="preserve">focus on </w:t>
      </w:r>
      <w:r w:rsidR="00EC0A01" w:rsidRPr="005066D4">
        <w:t>the broad parameters to support the design of Foundational Supports</w:t>
      </w:r>
      <w:r w:rsidR="00EC0A01">
        <w:t xml:space="preserve"> including the need for a genuine co-design process</w:t>
      </w:r>
      <w:r w:rsidR="00301275">
        <w:t xml:space="preserve">, </w:t>
      </w:r>
      <w:r w:rsidR="000C0F65">
        <w:t xml:space="preserve">a renewed focus on </w:t>
      </w:r>
      <w:r w:rsidR="004130AC">
        <w:t xml:space="preserve">delivering the commitments under </w:t>
      </w:r>
      <w:r w:rsidR="000C0F65" w:rsidRPr="000C0F65">
        <w:rPr>
          <w:i/>
          <w:iCs/>
        </w:rPr>
        <w:t>Australia’s Disability Strategy 2021-2031</w:t>
      </w:r>
      <w:r w:rsidR="000C0F65">
        <w:t xml:space="preserve">, </w:t>
      </w:r>
      <w:r w:rsidR="001436A4">
        <w:t>the need to revisit governments’ responses to the DRC,</w:t>
      </w:r>
      <w:r w:rsidR="0015519A">
        <w:t xml:space="preserve"> the principles that should underpin the Foundational </w:t>
      </w:r>
      <w:r w:rsidR="0015519A">
        <w:lastRenderedPageBreak/>
        <w:t>Supports Strategy</w:t>
      </w:r>
      <w:r w:rsidR="00024500">
        <w:t xml:space="preserve"> and its implementation</w:t>
      </w:r>
      <w:r w:rsidR="0015519A">
        <w:t xml:space="preserve">, </w:t>
      </w:r>
      <w:r w:rsidR="003243B2">
        <w:t xml:space="preserve">consideration of workforce development requirements, the importance of Communities of Practice, and </w:t>
      </w:r>
      <w:r w:rsidR="00D42994">
        <w:t xml:space="preserve">the imperative to provide funding certainty </w:t>
      </w:r>
      <w:r w:rsidR="00546D1B">
        <w:t>for</w:t>
      </w:r>
      <w:r w:rsidR="00D42994">
        <w:t xml:space="preserve"> </w:t>
      </w:r>
      <w:r w:rsidR="00125170">
        <w:t xml:space="preserve">programs during the transition to prevent a loss of momentum that will ultimately undermine the success of Foundational Supports. </w:t>
      </w:r>
    </w:p>
    <w:p w14:paraId="5F8F6721" w14:textId="77777777" w:rsidR="009838FE" w:rsidRDefault="009838FE" w:rsidP="00F56CB4">
      <w:pPr>
        <w:spacing w:after="160"/>
      </w:pPr>
    </w:p>
    <w:p w14:paraId="710D5A88" w14:textId="6DE90191" w:rsidR="00CB2242" w:rsidRDefault="0003457E" w:rsidP="00F56CB4">
      <w:pPr>
        <w:pStyle w:val="Heading2"/>
        <w:spacing w:after="160" w:line="360" w:lineRule="auto"/>
      </w:pPr>
      <w:bookmarkStart w:id="11" w:name="_Toc184414873"/>
      <w:r>
        <w:t>Importance of genuine co-design processes</w:t>
      </w:r>
      <w:bookmarkEnd w:id="11"/>
    </w:p>
    <w:p w14:paraId="0F7BDA70" w14:textId="11A3783A" w:rsidR="00D344A7" w:rsidRPr="00D344A7" w:rsidRDefault="00D36326" w:rsidP="00F56CB4">
      <w:pPr>
        <w:spacing w:after="160"/>
      </w:pPr>
      <w:r>
        <w:t>We strongly believe the</w:t>
      </w:r>
      <w:r w:rsidR="00A56DAC">
        <w:t xml:space="preserve"> Federal</w:t>
      </w:r>
      <w:r>
        <w:t xml:space="preserve"> Government’s repeatedly promised co-design approach should be the </w:t>
      </w:r>
      <w:r w:rsidR="00A56DAC">
        <w:t>basis for</w:t>
      </w:r>
      <w:r>
        <w:t xml:space="preserve"> developing sound reforms. </w:t>
      </w:r>
      <w:r w:rsidR="003F3E30">
        <w:t>Co-</w:t>
      </w:r>
      <w:r w:rsidR="00A56DAC">
        <w:t>d</w:t>
      </w:r>
      <w:r w:rsidR="003F3E30">
        <w:t xml:space="preserve">esign aligns with Australia’s obligations under </w:t>
      </w:r>
      <w:r w:rsidR="00DE17AF">
        <w:t>Article 4</w:t>
      </w:r>
      <w:r w:rsidR="002F6F21">
        <w:t xml:space="preserve"> </w:t>
      </w:r>
      <w:r w:rsidR="00DE17AF">
        <w:t xml:space="preserve">(3) of the </w:t>
      </w:r>
      <w:r w:rsidR="00D06336">
        <w:t xml:space="preserve">United </w:t>
      </w:r>
      <w:r w:rsidR="00D06336" w:rsidRPr="00247AC8">
        <w:t>Nations</w:t>
      </w:r>
      <w:r w:rsidR="00DE17AF" w:rsidRPr="00247AC8">
        <w:t xml:space="preserve"> </w:t>
      </w:r>
      <w:r w:rsidR="007D36E6" w:rsidRPr="00247AC8">
        <w:t>Convention of Rights o</w:t>
      </w:r>
      <w:r w:rsidR="00DE17AF" w:rsidRPr="00247AC8">
        <w:t>f Persons with Disabilities</w:t>
      </w:r>
      <w:r w:rsidR="00247AC8">
        <w:t xml:space="preserve"> (UNCRPD)</w:t>
      </w:r>
      <w:r w:rsidR="00DE17AF" w:rsidRPr="00247AC8">
        <w:t xml:space="preserve">. </w:t>
      </w:r>
      <w:r w:rsidRPr="00247AC8">
        <w:t>The d</w:t>
      </w:r>
      <w:r>
        <w:t xml:space="preserve">rafting of legislation and legislative instruments should then follow. </w:t>
      </w:r>
      <w:r w:rsidR="00D344A7" w:rsidRPr="00D344A7">
        <w:t xml:space="preserve">We continue to be concerned many of the processes that governments are currently referring to as co-design fall well short of best practice and do not include active involvement of people with disability in decision making. </w:t>
      </w:r>
      <w:r w:rsidR="003366BD">
        <w:t>Governments</w:t>
      </w:r>
      <w:r w:rsidR="00D344A7" w:rsidRPr="00D344A7">
        <w:t xml:space="preserve"> may find our Guide to Co-Design with People Living with Disability, which was itself co-designed, helpful in considering the essential steps required in undertaking genuine co-design processes. It is available via our </w:t>
      </w:r>
      <w:hyperlink r:id="rId14" w:tgtFrame="_blank" w:history="1">
        <w:r w:rsidR="00D344A7" w:rsidRPr="00D344A7">
          <w:rPr>
            <w:rStyle w:val="Hyperlink"/>
          </w:rPr>
          <w:t>website</w:t>
        </w:r>
      </w:hyperlink>
      <w:r w:rsidR="00D344A7" w:rsidRPr="00D344A7">
        <w:t>.   </w:t>
      </w:r>
    </w:p>
    <w:p w14:paraId="318EEA1A" w14:textId="58949992" w:rsidR="00090C5D" w:rsidRDefault="00BE415D" w:rsidP="00F56CB4">
      <w:pPr>
        <w:spacing w:after="160"/>
      </w:pPr>
      <w:r w:rsidRPr="00BE415D">
        <w:t>One of the benefits of codesign, when undertaken with sincerity and intention, is it brings key beneficiary voices to the table, and this can help ensure the subsequent design has the best chance of delivering good outcomes to the beneficiary group. Involvement of those voices in the decisions about design is key to this.</w:t>
      </w:r>
      <w:r w:rsidR="00673258">
        <w:t xml:space="preserve"> </w:t>
      </w:r>
      <w:r w:rsidR="003B791B" w:rsidRPr="003B791B">
        <w:t>However, for more complex issues it is not unusual for codesign to struggle to deliver a workable design, or for co</w:t>
      </w:r>
      <w:r w:rsidR="00673258">
        <w:t>-</w:t>
      </w:r>
      <w:r w:rsidR="003B791B" w:rsidRPr="003B791B">
        <w:t>design participants to become frustrated at the slow pace. When this happens, as has been the case on occasion with co</w:t>
      </w:r>
      <w:r w:rsidR="00CD7EFF">
        <w:t>-</w:t>
      </w:r>
      <w:r w:rsidR="003B791B" w:rsidRPr="003B791B">
        <w:t xml:space="preserve">design work at the </w:t>
      </w:r>
      <w:r w:rsidR="00000D82">
        <w:t>D</w:t>
      </w:r>
      <w:r w:rsidR="006F2EF5">
        <w:t>epartment of Social Services (DSS)</w:t>
      </w:r>
      <w:r w:rsidR="003B791B" w:rsidRPr="003B791B">
        <w:t xml:space="preserve"> and elsewhere, it is not because of a lack of sincerity or effort. Rather, it</w:t>
      </w:r>
      <w:r w:rsidR="006F2EF5">
        <w:t xml:space="preserve"> i</w:t>
      </w:r>
      <w:r w:rsidR="003B791B" w:rsidRPr="003B791B">
        <w:t>s because the co</w:t>
      </w:r>
      <w:r w:rsidR="006F2EF5">
        <w:t>-</w:t>
      </w:r>
      <w:r w:rsidR="003B791B" w:rsidRPr="003B791B">
        <w:t xml:space="preserve">design process is missing a key </w:t>
      </w:r>
      <w:r w:rsidR="00B67264">
        <w:t xml:space="preserve">associated </w:t>
      </w:r>
      <w:r w:rsidR="003B791B" w:rsidRPr="003B791B">
        <w:t xml:space="preserve">methodology: process design. </w:t>
      </w:r>
    </w:p>
    <w:p w14:paraId="56D7F73C" w14:textId="72759A51" w:rsidR="003B791B" w:rsidRPr="003B791B" w:rsidRDefault="003B791B" w:rsidP="00F56CB4">
      <w:pPr>
        <w:spacing w:after="160"/>
      </w:pPr>
      <w:r w:rsidRPr="003B791B">
        <w:t xml:space="preserve">Process design is a methodology that, in general terms, systematically moves from identifying and quantifying the presenting problem and its underlying causes, to the development of solution design elements, the quantification of expected benefits, the build process, the testing of the build elements, refinement, and then scaling up via a rollout plan. When this type of methodology is missing, the design work can struggle to move from </w:t>
      </w:r>
      <w:r w:rsidRPr="003B791B">
        <w:lastRenderedPageBreak/>
        <w:t>expressing the presenting issue at a high</w:t>
      </w:r>
      <w:r w:rsidR="00811D13">
        <w:t xml:space="preserve"> </w:t>
      </w:r>
      <w:r w:rsidRPr="003B791B">
        <w:t>level to a corresponding high</w:t>
      </w:r>
      <w:r w:rsidR="00811D13">
        <w:t>-</w:t>
      </w:r>
      <w:r w:rsidRPr="003B791B">
        <w:t xml:space="preserve">level aspirational view of how things could be. When this happens, participants (including the sponsoring agency) can struggle with the limited progress. </w:t>
      </w:r>
    </w:p>
    <w:p w14:paraId="74307316" w14:textId="1BADC423" w:rsidR="00BE415D" w:rsidRDefault="003B791B" w:rsidP="00F56CB4">
      <w:pPr>
        <w:spacing w:after="160"/>
      </w:pPr>
      <w:r w:rsidRPr="003B791B">
        <w:t xml:space="preserve">The use of a process design methodology, and careful facilitation of it by an accountable party, will be key to </w:t>
      </w:r>
      <w:r w:rsidR="00FC7B64">
        <w:t>designing</w:t>
      </w:r>
      <w:r w:rsidR="00EC03EE">
        <w:t xml:space="preserve"> Foundational Supports</w:t>
      </w:r>
      <w:r w:rsidRPr="003B791B">
        <w:t xml:space="preserve">. There are plenty of different flavours of process design methodology, and plenty of agencies offering them. </w:t>
      </w:r>
      <w:r w:rsidR="00481677">
        <w:t>I</w:t>
      </w:r>
      <w:r w:rsidRPr="003B791B">
        <w:t xml:space="preserve">t is key that </w:t>
      </w:r>
      <w:r w:rsidR="00481677">
        <w:t>governments</w:t>
      </w:r>
      <w:r w:rsidRPr="003B791B">
        <w:t xml:space="preserve"> opt for a process design methodology that is accessible, avoids gimmicks, is</w:t>
      </w:r>
      <w:r w:rsidR="004A0566">
        <w:t xml:space="preserve"> </w:t>
      </w:r>
      <w:r w:rsidRPr="003B791B">
        <w:t>n</w:t>
      </w:r>
      <w:r w:rsidR="004A0566">
        <w:t>o</w:t>
      </w:r>
      <w:r w:rsidRPr="003B791B">
        <w:t>t expensive, and where the process design supplier/facilitator is held properly accountable for the quality of the deliverables.</w:t>
      </w:r>
      <w:r w:rsidR="007662C4">
        <w:t xml:space="preserve"> </w:t>
      </w:r>
      <w:r w:rsidR="00212A57">
        <w:t xml:space="preserve">A strong change </w:t>
      </w:r>
      <w:r w:rsidR="00B95414">
        <w:t xml:space="preserve">management program, including to map and manage interdependencies and </w:t>
      </w:r>
      <w:r w:rsidR="00E37480">
        <w:t xml:space="preserve">implement </w:t>
      </w:r>
      <w:r w:rsidR="00104161">
        <w:t>a proactive, transparent, and accessible communica</w:t>
      </w:r>
      <w:r w:rsidR="00E37480">
        <w:t>tions plan, should support the co-design and process design app</w:t>
      </w:r>
      <w:r w:rsidR="003D40AA">
        <w:t xml:space="preserve">roach. </w:t>
      </w:r>
    </w:p>
    <w:p w14:paraId="0EAA1743" w14:textId="0D84F8DD" w:rsidR="00F158F3" w:rsidRPr="003D40AA" w:rsidRDefault="00F27B4B" w:rsidP="00E3435A">
      <w:pPr>
        <w:spacing w:after="160"/>
        <w:rPr>
          <w:b/>
          <w:bCs/>
          <w:iCs/>
        </w:rPr>
      </w:pPr>
      <w:bookmarkStart w:id="12" w:name="_Hlk184408803"/>
      <w:r w:rsidRPr="003D40AA">
        <w:rPr>
          <w:rStyle w:val="Heading4Char"/>
        </w:rPr>
        <w:t xml:space="preserve">Recommendation </w:t>
      </w:r>
      <w:r w:rsidR="003D40AA" w:rsidRPr="003D40AA">
        <w:rPr>
          <w:rStyle w:val="Heading4Char"/>
        </w:rPr>
        <w:t>2</w:t>
      </w:r>
      <w:r w:rsidRPr="003D40AA">
        <w:rPr>
          <w:rStyle w:val="Heading4Char"/>
        </w:rPr>
        <w:t>:</w:t>
      </w:r>
      <w:r>
        <w:rPr>
          <w:b/>
          <w:bCs/>
          <w:color w:val="7030A0"/>
        </w:rPr>
        <w:t xml:space="preserve"> </w:t>
      </w:r>
      <w:r w:rsidR="00E84705">
        <w:rPr>
          <w:b/>
          <w:bCs/>
        </w:rPr>
        <w:t xml:space="preserve">Federal and State and Territory Governments </w:t>
      </w:r>
      <w:r w:rsidRPr="00125104">
        <w:rPr>
          <w:b/>
          <w:bCs/>
        </w:rPr>
        <w:t>should adopt genuine co-design process</w:t>
      </w:r>
      <w:r w:rsidR="00E84705">
        <w:rPr>
          <w:b/>
          <w:bCs/>
        </w:rPr>
        <w:t>es</w:t>
      </w:r>
      <w:r w:rsidRPr="00125104">
        <w:rPr>
          <w:b/>
          <w:bCs/>
        </w:rPr>
        <w:t xml:space="preserve"> including diverse representation from across Australia’s </w:t>
      </w:r>
      <w:r>
        <w:rPr>
          <w:b/>
          <w:bCs/>
        </w:rPr>
        <w:t>disability</w:t>
      </w:r>
      <w:r w:rsidRPr="00125104">
        <w:rPr>
          <w:b/>
          <w:bCs/>
        </w:rPr>
        <w:t xml:space="preserve"> communities</w:t>
      </w:r>
      <w:r w:rsidR="00112217">
        <w:rPr>
          <w:b/>
          <w:bCs/>
        </w:rPr>
        <w:t xml:space="preserve"> to develop Foundational Supports</w:t>
      </w:r>
      <w:r w:rsidRPr="00125104">
        <w:rPr>
          <w:b/>
          <w:bCs/>
        </w:rPr>
        <w:t xml:space="preserve">. </w:t>
      </w:r>
      <w:r w:rsidR="003C77D7">
        <w:rPr>
          <w:b/>
          <w:bCs/>
        </w:rPr>
        <w:t>All</w:t>
      </w:r>
      <w:r w:rsidR="00D9729E">
        <w:rPr>
          <w:b/>
          <w:bCs/>
        </w:rPr>
        <w:t xml:space="preserve"> co-design process</w:t>
      </w:r>
      <w:r w:rsidR="003C77D7">
        <w:rPr>
          <w:b/>
          <w:bCs/>
        </w:rPr>
        <w:t>es</w:t>
      </w:r>
      <w:r w:rsidR="00D9729E">
        <w:rPr>
          <w:b/>
          <w:bCs/>
        </w:rPr>
        <w:t xml:space="preserve"> should be supported </w:t>
      </w:r>
      <w:r w:rsidR="00EC0A01">
        <w:rPr>
          <w:b/>
          <w:bCs/>
        </w:rPr>
        <w:t>by</w:t>
      </w:r>
      <w:r w:rsidR="00D9729E">
        <w:rPr>
          <w:b/>
          <w:bCs/>
        </w:rPr>
        <w:t xml:space="preserve"> a thorough </w:t>
      </w:r>
      <w:r w:rsidR="00D276F8">
        <w:rPr>
          <w:b/>
          <w:bCs/>
        </w:rPr>
        <w:t xml:space="preserve">process design methodology to ensure </w:t>
      </w:r>
      <w:r w:rsidR="009668C3">
        <w:rPr>
          <w:b/>
          <w:bCs/>
        </w:rPr>
        <w:t xml:space="preserve">successful implementation. </w:t>
      </w:r>
      <w:r>
        <w:rPr>
          <w:b/>
          <w:bCs/>
        </w:rPr>
        <w:t>People with disability</w:t>
      </w:r>
      <w:r w:rsidRPr="00125104">
        <w:rPr>
          <w:b/>
          <w:bCs/>
        </w:rPr>
        <w:t xml:space="preserve"> should </w:t>
      </w:r>
      <w:r>
        <w:rPr>
          <w:b/>
          <w:bCs/>
        </w:rPr>
        <w:t xml:space="preserve">be </w:t>
      </w:r>
      <w:r w:rsidRPr="00125104">
        <w:rPr>
          <w:b/>
          <w:bCs/>
        </w:rPr>
        <w:t xml:space="preserve">central </w:t>
      </w:r>
      <w:r>
        <w:rPr>
          <w:b/>
          <w:bCs/>
        </w:rPr>
        <w:t>to th</w:t>
      </w:r>
      <w:r w:rsidR="003C77D7">
        <w:rPr>
          <w:b/>
          <w:bCs/>
        </w:rPr>
        <w:t>ese</w:t>
      </w:r>
      <w:r>
        <w:rPr>
          <w:b/>
          <w:bCs/>
        </w:rPr>
        <w:t xml:space="preserve"> process</w:t>
      </w:r>
      <w:r w:rsidR="003C77D7">
        <w:rPr>
          <w:b/>
          <w:bCs/>
        </w:rPr>
        <w:t>es</w:t>
      </w:r>
      <w:r>
        <w:rPr>
          <w:b/>
          <w:bCs/>
        </w:rPr>
        <w:t xml:space="preserve"> and hold leadership and decision-making roles throughout the development and implementation of </w:t>
      </w:r>
      <w:r w:rsidR="003C77D7">
        <w:rPr>
          <w:b/>
          <w:bCs/>
        </w:rPr>
        <w:t>a</w:t>
      </w:r>
      <w:r>
        <w:rPr>
          <w:b/>
          <w:bCs/>
        </w:rPr>
        <w:t xml:space="preserve"> </w:t>
      </w:r>
      <w:r w:rsidR="003434B3">
        <w:rPr>
          <w:b/>
          <w:bCs/>
        </w:rPr>
        <w:t>Foundational Supports</w:t>
      </w:r>
      <w:r w:rsidRPr="00125104">
        <w:rPr>
          <w:b/>
          <w:bCs/>
        </w:rPr>
        <w:t xml:space="preserve"> Strategy.</w:t>
      </w:r>
      <w:r>
        <w:rPr>
          <w:b/>
          <w:bCs/>
        </w:rPr>
        <w:t xml:space="preserve"> </w:t>
      </w:r>
    </w:p>
    <w:bookmarkEnd w:id="12"/>
    <w:p w14:paraId="448C2252" w14:textId="77777777" w:rsidR="001F788D" w:rsidRDefault="001F788D" w:rsidP="00F56CB4">
      <w:pPr>
        <w:spacing w:after="160"/>
      </w:pPr>
    </w:p>
    <w:p w14:paraId="77FA8C74" w14:textId="3B40D6BB" w:rsidR="00067137" w:rsidRDefault="00067137" w:rsidP="00F56CB4">
      <w:pPr>
        <w:pStyle w:val="Heading2"/>
        <w:spacing w:after="160" w:line="360" w:lineRule="auto"/>
        <w:ind w:hanging="573"/>
      </w:pPr>
      <w:bookmarkStart w:id="13" w:name="_Toc184414874"/>
      <w:r>
        <w:t xml:space="preserve">Delivering </w:t>
      </w:r>
      <w:r w:rsidRPr="00067137">
        <w:rPr>
          <w:i/>
          <w:iCs/>
        </w:rPr>
        <w:t>Australia’s Disability Strategy 2021-2031</w:t>
      </w:r>
      <w:r>
        <w:t xml:space="preserve"> is key to success</w:t>
      </w:r>
      <w:bookmarkEnd w:id="13"/>
    </w:p>
    <w:p w14:paraId="7A8B4100" w14:textId="57B6E684" w:rsidR="00AE6E8B" w:rsidRDefault="00997EF2" w:rsidP="00F56CB4">
      <w:pPr>
        <w:spacing w:after="160"/>
      </w:pPr>
      <w:r>
        <w:t xml:space="preserve">The </w:t>
      </w:r>
      <w:r w:rsidR="007105C0">
        <w:t>success</w:t>
      </w:r>
      <w:r>
        <w:t xml:space="preserve"> of Foundational Supports </w:t>
      </w:r>
      <w:r w:rsidR="000E391D">
        <w:t>is also dependent on the achievement of commitments under</w:t>
      </w:r>
      <w:r w:rsidR="00462568">
        <w:t xml:space="preserve"> </w:t>
      </w:r>
      <w:r w:rsidR="00462568" w:rsidRPr="00462568">
        <w:rPr>
          <w:i/>
          <w:iCs/>
        </w:rPr>
        <w:t>Australia’s Disability Strategy 2021-2031</w:t>
      </w:r>
      <w:r w:rsidR="00462568">
        <w:t>.</w:t>
      </w:r>
      <w:r w:rsidR="00EC4B0E">
        <w:t xml:space="preserve"> </w:t>
      </w:r>
      <w:r w:rsidR="00B065D4">
        <w:t xml:space="preserve">The Foundational Supports Strategy should align with and complement </w:t>
      </w:r>
      <w:r w:rsidR="00C15BF5">
        <w:t xml:space="preserve">this work. </w:t>
      </w:r>
      <w:r w:rsidR="001446BE">
        <w:t xml:space="preserve">While </w:t>
      </w:r>
      <w:r w:rsidR="00B065D4">
        <w:t>the Strategy</w:t>
      </w:r>
      <w:r w:rsidR="00F33399">
        <w:rPr>
          <w:i/>
          <w:iCs/>
        </w:rPr>
        <w:t xml:space="preserve"> </w:t>
      </w:r>
      <w:r w:rsidR="00F33399">
        <w:t>promised all</w:t>
      </w:r>
      <w:r w:rsidR="006A29DD">
        <w:t xml:space="preserve"> governments would work </w:t>
      </w:r>
      <w:r w:rsidR="00B065D4">
        <w:t>‘</w:t>
      </w:r>
      <w:r w:rsidR="006A29DD">
        <w:t>together with people with disability</w:t>
      </w:r>
      <w:r w:rsidR="002B5994">
        <w:t>…</w:t>
      </w:r>
      <w:r w:rsidR="008605A5">
        <w:t xml:space="preserve"> </w:t>
      </w:r>
      <w:r w:rsidR="002B5994">
        <w:t>in a coordinated way</w:t>
      </w:r>
      <w:r w:rsidR="00B065D4">
        <w:t>’</w:t>
      </w:r>
      <w:r w:rsidR="002B5994">
        <w:t xml:space="preserve"> to </w:t>
      </w:r>
      <w:r w:rsidR="00C15BF5">
        <w:t>‘</w:t>
      </w:r>
      <w:r w:rsidR="002B5994">
        <w:t xml:space="preserve">support people </w:t>
      </w:r>
      <w:r w:rsidR="000A6950">
        <w:t>with disability to enjoy their human rights on an equal basis with others</w:t>
      </w:r>
      <w:r w:rsidR="00C15BF5">
        <w:t>’</w:t>
      </w:r>
      <w:r w:rsidR="00810F2B">
        <w:rPr>
          <w:rStyle w:val="FootnoteReference"/>
        </w:rPr>
        <w:footnoteReference w:id="10"/>
      </w:r>
      <w:r w:rsidR="009F44F5">
        <w:t xml:space="preserve">, sadly the introduction of the NDIS has </w:t>
      </w:r>
      <w:r w:rsidR="00E47E13">
        <w:t>seen states and territories departing the field</w:t>
      </w:r>
      <w:r w:rsidR="00112484">
        <w:t xml:space="preserve">, handballing responsibility </w:t>
      </w:r>
      <w:r w:rsidR="001F3CDD">
        <w:t>solely to the NDIS</w:t>
      </w:r>
      <w:r w:rsidR="00445C68">
        <w:t xml:space="preserve">. </w:t>
      </w:r>
      <w:r w:rsidR="001F3CDD">
        <w:t xml:space="preserve">Foundational Supports must reverse this </w:t>
      </w:r>
      <w:r w:rsidR="002F1CA7">
        <w:t xml:space="preserve">with </w:t>
      </w:r>
      <w:r w:rsidR="002F1CA7">
        <w:lastRenderedPageBreak/>
        <w:t>significant investments in the areas of responsibility that state and territory governments have always held</w:t>
      </w:r>
      <w:r w:rsidR="00910392">
        <w:t xml:space="preserve">. </w:t>
      </w:r>
    </w:p>
    <w:p w14:paraId="6D5F151E" w14:textId="3AB75C2B" w:rsidR="00983B24" w:rsidRPr="009D19A3" w:rsidRDefault="00267002" w:rsidP="00F56CB4">
      <w:pPr>
        <w:spacing w:after="160"/>
      </w:pPr>
      <w:r>
        <w:t xml:space="preserve">As recommended by the NDIS Review, the development </w:t>
      </w:r>
      <w:r w:rsidR="005173C4">
        <w:t xml:space="preserve">of Foundational Supports is an opportunity to balance the </w:t>
      </w:r>
      <w:r w:rsidR="009C2CAD">
        <w:t>financial cost sharing, incentives</w:t>
      </w:r>
      <w:r w:rsidR="00793CCF">
        <w:t>,</w:t>
      </w:r>
      <w:r w:rsidR="009C2CAD">
        <w:t xml:space="preserve"> and accountabilities </w:t>
      </w:r>
      <w:r w:rsidR="00C964CC">
        <w:t xml:space="preserve">to deliver a </w:t>
      </w:r>
      <w:r w:rsidR="00793CCF">
        <w:t>‘</w:t>
      </w:r>
      <w:r w:rsidR="00C964CC">
        <w:t xml:space="preserve">comprehensive and </w:t>
      </w:r>
      <w:r w:rsidR="002F467E">
        <w:t>unified disability eco-system</w:t>
      </w:r>
      <w:r w:rsidR="00793CCF">
        <w:t>’</w:t>
      </w:r>
      <w:r w:rsidR="00BF0FFD">
        <w:rPr>
          <w:rStyle w:val="FootnoteReference"/>
        </w:rPr>
        <w:footnoteReference w:id="11"/>
      </w:r>
      <w:r w:rsidR="002F467E">
        <w:t xml:space="preserve"> </w:t>
      </w:r>
      <w:r w:rsidR="00793CCF">
        <w:t>that</w:t>
      </w:r>
      <w:r w:rsidR="002F467E">
        <w:t xml:space="preserve"> </w:t>
      </w:r>
      <w:r w:rsidR="00866D1D">
        <w:t>makes real</w:t>
      </w:r>
      <w:r w:rsidR="002F467E">
        <w:t xml:space="preserve"> the ideals of</w:t>
      </w:r>
      <w:r w:rsidR="00866D1D">
        <w:t xml:space="preserve"> </w:t>
      </w:r>
      <w:r w:rsidR="00B61E95">
        <w:t>the</w:t>
      </w:r>
      <w:r w:rsidR="00866D1D">
        <w:t xml:space="preserve"> Strategy.</w:t>
      </w:r>
      <w:r w:rsidR="00A25D1B">
        <w:t xml:space="preserve"> </w:t>
      </w:r>
      <w:r w:rsidR="00584478">
        <w:t>T</w:t>
      </w:r>
      <w:r w:rsidR="00E85626">
        <w:t xml:space="preserve">here must be a renewed </w:t>
      </w:r>
      <w:r w:rsidR="00A57F41">
        <w:t>focus on</w:t>
      </w:r>
      <w:r w:rsidR="00431801">
        <w:t>,</w:t>
      </w:r>
      <w:r w:rsidR="00E85626">
        <w:t xml:space="preserve"> and more resources committed to</w:t>
      </w:r>
      <w:r w:rsidR="00431801">
        <w:t>,</w:t>
      </w:r>
      <w:r w:rsidR="00E85626">
        <w:t xml:space="preserve"> delivering </w:t>
      </w:r>
      <w:r w:rsidR="00B9197B">
        <w:t xml:space="preserve">its </w:t>
      </w:r>
      <w:r w:rsidR="00E85626">
        <w:t>outcomes</w:t>
      </w:r>
      <w:r w:rsidR="00B9197B">
        <w:t xml:space="preserve"> because when mainstream </w:t>
      </w:r>
      <w:r w:rsidR="00B31B92">
        <w:t>services are accessible and inclusive</w:t>
      </w:r>
      <w:r w:rsidR="0011586A">
        <w:t>,</w:t>
      </w:r>
      <w:r w:rsidR="00B31B92">
        <w:t xml:space="preserve"> and Australians with disability have the same opportunities as all people</w:t>
      </w:r>
      <w:r w:rsidR="0011586A">
        <w:t>,</w:t>
      </w:r>
      <w:r w:rsidR="00B31B92">
        <w:t xml:space="preserve"> </w:t>
      </w:r>
      <w:r w:rsidR="00347CC3">
        <w:t>the need for Foundational Support</w:t>
      </w:r>
      <w:r w:rsidR="00431801">
        <w:t>s</w:t>
      </w:r>
      <w:r w:rsidR="00347CC3">
        <w:t xml:space="preserve"> will reduce. Currently, there is a long way to go to make this a reality</w:t>
      </w:r>
      <w:r w:rsidR="00787EB8">
        <w:t>, as laid bare in the DRC Final Report</w:t>
      </w:r>
      <w:r w:rsidR="00347CC3">
        <w:t>.</w:t>
      </w:r>
      <w:r w:rsidR="00E85626">
        <w:t xml:space="preserve"> </w:t>
      </w:r>
    </w:p>
    <w:p w14:paraId="76F70CDC" w14:textId="22F9F169" w:rsidR="00DE6112" w:rsidRDefault="00DE6112" w:rsidP="00E3435A">
      <w:pPr>
        <w:spacing w:after="160"/>
        <w:rPr>
          <w:b/>
          <w:bCs/>
        </w:rPr>
      </w:pPr>
      <w:bookmarkStart w:id="14" w:name="_Hlk184408811"/>
      <w:r w:rsidRPr="00FC1642">
        <w:rPr>
          <w:rStyle w:val="Heading4Char"/>
        </w:rPr>
        <w:t xml:space="preserve">Recommendation </w:t>
      </w:r>
      <w:r w:rsidR="00FC1642" w:rsidRPr="00FC1642">
        <w:rPr>
          <w:rStyle w:val="Heading4Char"/>
        </w:rPr>
        <w:t>3</w:t>
      </w:r>
      <w:r w:rsidRPr="00FC1642">
        <w:rPr>
          <w:rStyle w:val="Heading4Char"/>
        </w:rPr>
        <w:t>:</w:t>
      </w:r>
      <w:r>
        <w:rPr>
          <w:b/>
          <w:bCs/>
          <w:color w:val="7030A0"/>
        </w:rPr>
        <w:t xml:space="preserve"> </w:t>
      </w:r>
      <w:r w:rsidRPr="00125104">
        <w:rPr>
          <w:b/>
          <w:bCs/>
        </w:rPr>
        <w:t xml:space="preserve">The </w:t>
      </w:r>
      <w:r w:rsidR="00C11AC5">
        <w:rPr>
          <w:b/>
          <w:bCs/>
        </w:rPr>
        <w:t>Australian Government</w:t>
      </w:r>
      <w:r w:rsidRPr="00125104">
        <w:rPr>
          <w:b/>
          <w:bCs/>
        </w:rPr>
        <w:t xml:space="preserve"> should </w:t>
      </w:r>
      <w:r w:rsidRPr="00352981">
        <w:rPr>
          <w:b/>
          <w:bCs/>
        </w:rPr>
        <w:t>e</w:t>
      </w:r>
      <w:r w:rsidR="005E12B8">
        <w:rPr>
          <w:b/>
          <w:bCs/>
        </w:rPr>
        <w:t xml:space="preserve">nsure </w:t>
      </w:r>
      <w:r w:rsidR="00062798">
        <w:rPr>
          <w:b/>
          <w:bCs/>
        </w:rPr>
        <w:t>the</w:t>
      </w:r>
      <w:r w:rsidR="005E12B8">
        <w:rPr>
          <w:b/>
          <w:bCs/>
        </w:rPr>
        <w:t xml:space="preserve"> </w:t>
      </w:r>
      <w:r w:rsidR="00062798">
        <w:rPr>
          <w:b/>
          <w:bCs/>
        </w:rPr>
        <w:t>Foundational Supports</w:t>
      </w:r>
      <w:r w:rsidR="00C11AC5">
        <w:rPr>
          <w:b/>
          <w:bCs/>
        </w:rPr>
        <w:t xml:space="preserve"> </w:t>
      </w:r>
      <w:r w:rsidR="00062798">
        <w:rPr>
          <w:b/>
          <w:bCs/>
        </w:rPr>
        <w:t xml:space="preserve">Strategy closely aligns with the principles and intent of </w:t>
      </w:r>
      <w:r w:rsidR="002E1B70" w:rsidRPr="002E1B70">
        <w:rPr>
          <w:b/>
          <w:bCs/>
          <w:i/>
          <w:iCs/>
        </w:rPr>
        <w:t>Australia’s Disability Strategy 2021-2031</w:t>
      </w:r>
      <w:r w:rsidRPr="00352981">
        <w:rPr>
          <w:b/>
          <w:bCs/>
        </w:rPr>
        <w:t>.</w:t>
      </w:r>
      <w:r w:rsidR="00C11AC5">
        <w:rPr>
          <w:b/>
          <w:bCs/>
        </w:rPr>
        <w:t xml:space="preserve"> To support the success of implementing </w:t>
      </w:r>
      <w:r w:rsidR="008E3EB8">
        <w:rPr>
          <w:b/>
          <w:bCs/>
        </w:rPr>
        <w:t xml:space="preserve">Foundational Supports, governments should renew their focus on, and investment in, delivering the outcomes </w:t>
      </w:r>
      <w:r w:rsidR="00FC1642">
        <w:rPr>
          <w:b/>
          <w:bCs/>
        </w:rPr>
        <w:t>they have committed to in the Strategy.</w:t>
      </w:r>
    </w:p>
    <w:bookmarkEnd w:id="14"/>
    <w:p w14:paraId="4D10DDDB" w14:textId="77777777" w:rsidR="00FC1642" w:rsidRPr="002E1B70" w:rsidRDefault="00FC1642" w:rsidP="00F56CB4">
      <w:pPr>
        <w:spacing w:after="160"/>
        <w:jc w:val="both"/>
        <w:rPr>
          <w:b/>
        </w:rPr>
      </w:pPr>
    </w:p>
    <w:p w14:paraId="5B89C6D3" w14:textId="388E075F" w:rsidR="00067137" w:rsidRDefault="00067137" w:rsidP="00F56CB4">
      <w:pPr>
        <w:pStyle w:val="Heading2"/>
        <w:spacing w:after="160" w:line="360" w:lineRule="auto"/>
        <w:ind w:hanging="573"/>
      </w:pPr>
      <w:bookmarkStart w:id="15" w:name="_Toc184414875"/>
      <w:r>
        <w:t>Comprehensive DRC response urgently needed</w:t>
      </w:r>
      <w:bookmarkEnd w:id="15"/>
    </w:p>
    <w:p w14:paraId="66E50147" w14:textId="7217F20E" w:rsidR="001926AD" w:rsidRDefault="001926AD" w:rsidP="00F56CB4">
      <w:pPr>
        <w:spacing w:after="160"/>
      </w:pPr>
      <w:r>
        <w:t>As we publicly stated</w:t>
      </w:r>
      <w:r w:rsidR="00846580">
        <w:rPr>
          <w:rStyle w:val="FootnoteReference"/>
        </w:rPr>
        <w:footnoteReference w:id="12"/>
      </w:r>
      <w:r>
        <w:t xml:space="preserve"> when</w:t>
      </w:r>
      <w:r w:rsidR="004130AC">
        <w:t xml:space="preserve"> Federal and State Governments</w:t>
      </w:r>
      <w:r w:rsidR="00987C57">
        <w:t xml:space="preserve"> released </w:t>
      </w:r>
      <w:r w:rsidR="004130AC">
        <w:t>their</w:t>
      </w:r>
      <w:r w:rsidR="00987C57">
        <w:t xml:space="preserve"> formal response</w:t>
      </w:r>
      <w:r w:rsidR="004130AC">
        <w:t>s</w:t>
      </w:r>
      <w:r w:rsidR="00987C57">
        <w:t xml:space="preserve"> to the DRC, w</w:t>
      </w:r>
      <w:r>
        <w:t>e had four and a half long years of people with disability sharing the</w:t>
      </w:r>
      <w:r w:rsidR="0089480A">
        <w:t>ir</w:t>
      </w:r>
      <w:r>
        <w:t xml:space="preserve"> traumatic experiences of violence, abuse, neglect, and exploitation</w:t>
      </w:r>
      <w:r w:rsidR="0089480A">
        <w:t xml:space="preserve"> only for </w:t>
      </w:r>
      <w:r w:rsidR="00601F04">
        <w:t>ministers</w:t>
      </w:r>
      <w:r w:rsidR="0089480A">
        <w:t xml:space="preserve"> to </w:t>
      </w:r>
      <w:r w:rsidR="00AA0062">
        <w:t>deliver a response that is, at best, lacklustre</w:t>
      </w:r>
      <w:r>
        <w:t xml:space="preserve">. The DRC </w:t>
      </w:r>
      <w:r w:rsidR="00AA0062">
        <w:t>provided</w:t>
      </w:r>
      <w:r>
        <w:t xml:space="preserve"> 222 recommendations in </w:t>
      </w:r>
      <w:r w:rsidR="003375E8">
        <w:t>its</w:t>
      </w:r>
      <w:r>
        <w:t xml:space="preserve"> Final Report and governments spent ten months deciding what they th</w:t>
      </w:r>
      <w:r w:rsidR="00F0521A">
        <w:t>ought</w:t>
      </w:r>
      <w:r>
        <w:t xml:space="preserve"> about those recommendations</w:t>
      </w:r>
      <w:r w:rsidR="00B07CB4">
        <w:t xml:space="preserve">, yet so </w:t>
      </w:r>
      <w:r w:rsidR="007472C9">
        <w:t xml:space="preserve">few were </w:t>
      </w:r>
      <w:r w:rsidR="0033698D">
        <w:t xml:space="preserve">fully </w:t>
      </w:r>
      <w:r w:rsidR="007472C9">
        <w:t xml:space="preserve">accepted. In stark contrast, </w:t>
      </w:r>
      <w:r w:rsidR="0033698D">
        <w:t xml:space="preserve">the recent response to the </w:t>
      </w:r>
      <w:r w:rsidR="00C03FE0">
        <w:t xml:space="preserve">recommendations of the Royal </w:t>
      </w:r>
      <w:r w:rsidR="00A80984">
        <w:t xml:space="preserve">Commission into Defence and Veteran Suicide was </w:t>
      </w:r>
      <w:r w:rsidR="0048153A">
        <w:t xml:space="preserve">announced by the Prime Minister </w:t>
      </w:r>
      <w:r w:rsidR="00601F04">
        <w:t>Anthony Albanese himself</w:t>
      </w:r>
      <w:r w:rsidR="00A80984">
        <w:t xml:space="preserve"> </w:t>
      </w:r>
      <w:r w:rsidR="00601F04">
        <w:t>with</w:t>
      </w:r>
      <w:r w:rsidR="00A80984">
        <w:t xml:space="preserve">in </w:t>
      </w:r>
      <w:r w:rsidR="003C0B7D">
        <w:t xml:space="preserve">less than </w:t>
      </w:r>
      <w:r w:rsidR="00BA2E71">
        <w:t xml:space="preserve">three months </w:t>
      </w:r>
      <w:r w:rsidR="008353DE">
        <w:t>of delivery</w:t>
      </w:r>
      <w:r w:rsidR="00BA7E90">
        <w:t xml:space="preserve"> of the Final Report</w:t>
      </w:r>
      <w:r w:rsidR="002359AB">
        <w:t xml:space="preserve"> and</w:t>
      </w:r>
      <w:r w:rsidR="008353DE">
        <w:t xml:space="preserve"> </w:t>
      </w:r>
      <w:r w:rsidR="00BA2E71">
        <w:t xml:space="preserve">with </w:t>
      </w:r>
      <w:r w:rsidR="000455C7">
        <w:t xml:space="preserve">more than </w:t>
      </w:r>
      <w:r w:rsidR="00BA2E71">
        <w:t xml:space="preserve">two-thirds of </w:t>
      </w:r>
      <w:r w:rsidR="00D1474A">
        <w:t xml:space="preserve">the </w:t>
      </w:r>
      <w:r w:rsidR="00BA2E71">
        <w:t xml:space="preserve">recommendations fully </w:t>
      </w:r>
      <w:r w:rsidR="00BA2E71">
        <w:lastRenderedPageBreak/>
        <w:t>a</w:t>
      </w:r>
      <w:r w:rsidR="000455C7">
        <w:t>ccepted</w:t>
      </w:r>
      <w:r w:rsidR="00BA2E71">
        <w:t>.</w:t>
      </w:r>
      <w:r w:rsidR="000455C7">
        <w:rPr>
          <w:rStyle w:val="FootnoteReference"/>
        </w:rPr>
        <w:footnoteReference w:id="13"/>
      </w:r>
      <w:r w:rsidR="000A052B">
        <w:t xml:space="preserve"> While we do not seek to in any way diminish the importance of th</w:t>
      </w:r>
      <w:r w:rsidR="00485C17">
        <w:t>o</w:t>
      </w:r>
      <w:r w:rsidR="000A052B">
        <w:t xml:space="preserve">se recommendations, it is disingenuous for governments to suggest </w:t>
      </w:r>
      <w:r w:rsidR="00485C17">
        <w:t xml:space="preserve">they </w:t>
      </w:r>
      <w:r w:rsidR="0000079F">
        <w:t xml:space="preserve">have </w:t>
      </w:r>
      <w:r w:rsidR="00485C17">
        <w:t xml:space="preserve">treated the DRC recommendations with the same </w:t>
      </w:r>
      <w:r w:rsidR="0000079F">
        <w:t xml:space="preserve">level of urgency or </w:t>
      </w:r>
      <w:r w:rsidR="00B73AB5">
        <w:t>decisiveness</w:t>
      </w:r>
      <w:r w:rsidR="0000079F">
        <w:t xml:space="preserve"> as </w:t>
      </w:r>
      <w:r w:rsidR="00415734">
        <w:t xml:space="preserve">is </w:t>
      </w:r>
      <w:r w:rsidR="00B73AB5">
        <w:t xml:space="preserve">typically </w:t>
      </w:r>
      <w:r w:rsidR="00415734">
        <w:t>demonstrated in other areas</w:t>
      </w:r>
      <w:r w:rsidR="00CD667E">
        <w:t xml:space="preserve"> of policy failure</w:t>
      </w:r>
      <w:r w:rsidR="00681BC2">
        <w:t xml:space="preserve"> affecting </w:t>
      </w:r>
      <w:r w:rsidR="00AB18AE">
        <w:t>main</w:t>
      </w:r>
      <w:r w:rsidR="00681BC2">
        <w:t xml:space="preserve">ly non-disabled people </w:t>
      </w:r>
      <w:r w:rsidR="00927653">
        <w:t xml:space="preserve">(with the </w:t>
      </w:r>
      <w:r w:rsidR="003F50BE">
        <w:t xml:space="preserve">obvious </w:t>
      </w:r>
      <w:r w:rsidR="00927653">
        <w:t xml:space="preserve">exception of </w:t>
      </w:r>
      <w:r w:rsidR="000B0745">
        <w:t xml:space="preserve">ongoing </w:t>
      </w:r>
      <w:r w:rsidR="003F50BE">
        <w:t>policy failure affecting First Nations people)</w:t>
      </w:r>
      <w:r w:rsidR="00415734">
        <w:t xml:space="preserve">. </w:t>
      </w:r>
    </w:p>
    <w:p w14:paraId="3E3289CC" w14:textId="5DDF77DE" w:rsidR="001926AD" w:rsidRDefault="001926AD" w:rsidP="00F56CB4">
      <w:pPr>
        <w:spacing w:after="160"/>
      </w:pPr>
      <w:r>
        <w:t>People</w:t>
      </w:r>
      <w:r w:rsidR="00DA326D">
        <w:t xml:space="preserve"> with disability</w:t>
      </w:r>
      <w:r>
        <w:t xml:space="preserve"> were rightly expecting a more </w:t>
      </w:r>
      <w:r w:rsidR="005623EF">
        <w:t xml:space="preserve">substantive and </w:t>
      </w:r>
      <w:r>
        <w:t xml:space="preserve">detailed announcement </w:t>
      </w:r>
      <w:r w:rsidR="004465D3">
        <w:t xml:space="preserve">in response to the DRC </w:t>
      </w:r>
      <w:r w:rsidR="00BA4ED3">
        <w:t>regarding</w:t>
      </w:r>
      <w:r>
        <w:t xml:space="preserve"> how governments </w:t>
      </w:r>
      <w:r w:rsidR="004465D3">
        <w:t>would</w:t>
      </w:r>
      <w:r>
        <w:t xml:space="preserve"> build a roadmap away from the settings where violence, abuse, neglect</w:t>
      </w:r>
      <w:r w:rsidR="004465D3">
        <w:t>,</w:t>
      </w:r>
      <w:r>
        <w:t xml:space="preserve"> and exploitation are more likely to happen, and towards genuine inclusion. Over many generations, Australia has built arrangements that segregate many people</w:t>
      </w:r>
      <w:r w:rsidR="005D179E">
        <w:t xml:space="preserve"> with disability</w:t>
      </w:r>
      <w:r>
        <w:t xml:space="preserve"> from ordinary </w:t>
      </w:r>
      <w:proofErr w:type="gramStart"/>
      <w:r>
        <w:t>life;</w:t>
      </w:r>
      <w:proofErr w:type="gramEnd"/>
      <w:r>
        <w:t xml:space="preserve"> in housing, in education, in employment</w:t>
      </w:r>
      <w:r w:rsidR="00160EA4">
        <w:t>, and in other ways too</w:t>
      </w:r>
      <w:r>
        <w:t>. It is through such segregation that people</w:t>
      </w:r>
      <w:r w:rsidR="000413A8">
        <w:t xml:space="preserve"> with disability</w:t>
      </w:r>
      <w:r>
        <w:t xml:space="preserve"> have been most vulnerable to violence, abuse, neglect, and exploitation. And these same arrangements are the opposite of a truly inclusive Australia. </w:t>
      </w:r>
    </w:p>
    <w:p w14:paraId="16AE3B0E" w14:textId="7193337A" w:rsidR="00A851E8" w:rsidRDefault="001926AD" w:rsidP="00F56CB4">
      <w:pPr>
        <w:spacing w:after="160"/>
      </w:pPr>
      <w:r>
        <w:t xml:space="preserve">There </w:t>
      </w:r>
      <w:r w:rsidR="00DD0AC1">
        <w:t>wa</w:t>
      </w:r>
      <w:r>
        <w:t xml:space="preserve">s a high number of recommendations </w:t>
      </w:r>
      <w:r w:rsidR="007152DF">
        <w:t>that</w:t>
      </w:r>
      <w:r>
        <w:t xml:space="preserve"> governments only agreed-in-principle, or are pending further consideration, or simply noted. These responses are unacceptable; they are manifestly in</w:t>
      </w:r>
      <w:r w:rsidR="007152DF">
        <w:t>adequate</w:t>
      </w:r>
      <w:r>
        <w:t xml:space="preserve"> and do not reflect the weight of the issues for the disability community who deserve a </w:t>
      </w:r>
      <w:r w:rsidR="008B05A1">
        <w:t xml:space="preserve">much </w:t>
      </w:r>
      <w:r>
        <w:t xml:space="preserve">more urgent and determined response. We know the issues can feel complex, but there </w:t>
      </w:r>
      <w:proofErr w:type="gramStart"/>
      <w:r>
        <w:t>has to</w:t>
      </w:r>
      <w:proofErr w:type="gramEnd"/>
      <w:r>
        <w:t xml:space="preserve"> be a real sense of urgency, decisive leadership, and whole-of-government accountability for weighty action. It is the only way we will see genuine movement away from harmful segregation and towards a truly inclusive Australia.</w:t>
      </w:r>
      <w:r w:rsidR="00F40FA9">
        <w:t xml:space="preserve"> Given</w:t>
      </w:r>
      <w:r w:rsidR="00872B0C">
        <w:t xml:space="preserve"> </w:t>
      </w:r>
      <w:r w:rsidR="005C208E">
        <w:t xml:space="preserve">the </w:t>
      </w:r>
      <w:r w:rsidR="00E732E1">
        <w:t>overlap between many of the DRC’s recommendations</w:t>
      </w:r>
      <w:r w:rsidR="00D7294A">
        <w:t xml:space="preserve"> </w:t>
      </w:r>
      <w:r w:rsidR="00E732E1">
        <w:t xml:space="preserve">and the </w:t>
      </w:r>
      <w:r w:rsidR="00D7294A">
        <w:t xml:space="preserve">scope </w:t>
      </w:r>
      <w:r w:rsidR="00E732E1">
        <w:t xml:space="preserve">potentially covered by Foundational Supports, it is imperative </w:t>
      </w:r>
      <w:r w:rsidR="00AC1D88">
        <w:t xml:space="preserve">for a full and comprehensive </w:t>
      </w:r>
      <w:r w:rsidR="00762487">
        <w:t xml:space="preserve">updated </w:t>
      </w:r>
      <w:r w:rsidR="00AC1D88">
        <w:t xml:space="preserve">DRC response to be released </w:t>
      </w:r>
      <w:r w:rsidR="00CF246E">
        <w:t xml:space="preserve">ahead of the design of </w:t>
      </w:r>
      <w:r w:rsidR="00CE5DBC">
        <w:t xml:space="preserve">these supports. </w:t>
      </w:r>
      <w:r w:rsidR="00540459">
        <w:t>Governments</w:t>
      </w:r>
      <w:r w:rsidR="006A6A16">
        <w:t>’</w:t>
      </w:r>
      <w:r>
        <w:t xml:space="preserve"> responses</w:t>
      </w:r>
      <w:r w:rsidR="00540459">
        <w:t xml:space="preserve"> must be</w:t>
      </w:r>
      <w:r>
        <w:t xml:space="preserve"> clearer and</w:t>
      </w:r>
      <w:r w:rsidR="00C375DC">
        <w:t xml:space="preserve"> feature a</w:t>
      </w:r>
      <w:r>
        <w:t xml:space="preserve"> more impassioned commitment to, and accountability for</w:t>
      </w:r>
      <w:r w:rsidR="006A6A16">
        <w:t>,</w:t>
      </w:r>
      <w:r>
        <w:t xml:space="preserve"> action in support of true inclusion.</w:t>
      </w:r>
      <w:r w:rsidR="00524CFE">
        <w:t xml:space="preserve"> </w:t>
      </w:r>
    </w:p>
    <w:p w14:paraId="15E4698F" w14:textId="72A74926" w:rsidR="009C3A95" w:rsidRDefault="00C37774" w:rsidP="00F56CB4">
      <w:pPr>
        <w:spacing w:after="160"/>
      </w:pPr>
      <w:r>
        <w:t>All DRC Commissioners w</w:t>
      </w:r>
      <w:r w:rsidR="00FD278F">
        <w:t>ith lived experience were united on the need to end segregation and</w:t>
      </w:r>
      <w:r w:rsidR="009C3A95">
        <w:t xml:space="preserve"> we </w:t>
      </w:r>
      <w:r w:rsidR="00FD278F">
        <w:t>believe</w:t>
      </w:r>
      <w:r w:rsidR="009C3A95">
        <w:t xml:space="preserve"> there is no place for segregation within the Foundational Supports Strategy</w:t>
      </w:r>
      <w:r w:rsidR="00BC5BFD">
        <w:t xml:space="preserve"> because it will not be</w:t>
      </w:r>
      <w:r w:rsidR="00BA6693">
        <w:t xml:space="preserve"> a</w:t>
      </w:r>
      <w:r w:rsidR="00BC5BFD">
        <w:t xml:space="preserve"> durable</w:t>
      </w:r>
      <w:r w:rsidR="00BA6693">
        <w:t xml:space="preserve"> solution in line with</w:t>
      </w:r>
      <w:r w:rsidR="00652532">
        <w:t xml:space="preserve"> fulfilling Australia’s international </w:t>
      </w:r>
      <w:r w:rsidR="00652532">
        <w:lastRenderedPageBreak/>
        <w:t>obligations under the UNCRPD</w:t>
      </w:r>
      <w:r w:rsidR="00BA6693">
        <w:t>.</w:t>
      </w:r>
      <w:r w:rsidR="00652532">
        <w:t xml:space="preserve"> Community expectations are also shifting quickly</w:t>
      </w:r>
      <w:r w:rsidR="00684407">
        <w:t xml:space="preserve"> so </w:t>
      </w:r>
      <w:r w:rsidR="00161103">
        <w:t xml:space="preserve">segregated provisions will quickly become obsolete with additional funding needed to transition them to contemporary models. </w:t>
      </w:r>
      <w:r w:rsidR="00153B4B">
        <w:t xml:space="preserve">The most economical solution is for </w:t>
      </w:r>
      <w:r w:rsidR="00E757BC">
        <w:t xml:space="preserve">all </w:t>
      </w:r>
      <w:r w:rsidR="00153B4B">
        <w:t xml:space="preserve">Foundational Supports to </w:t>
      </w:r>
      <w:r w:rsidR="00E757BC">
        <w:t xml:space="preserve">embody genuine </w:t>
      </w:r>
      <w:r w:rsidR="00DF0BED">
        <w:t xml:space="preserve">and </w:t>
      </w:r>
      <w:r w:rsidR="00E757BC">
        <w:t>full community inclusion</w:t>
      </w:r>
      <w:r w:rsidR="00DF0BED">
        <w:t>.</w:t>
      </w:r>
      <w:r w:rsidR="00E757BC">
        <w:t xml:space="preserve"> </w:t>
      </w:r>
      <w:r w:rsidR="00BA6693">
        <w:t xml:space="preserve"> </w:t>
      </w:r>
      <w:r w:rsidR="00BC5BFD">
        <w:t xml:space="preserve"> </w:t>
      </w:r>
    </w:p>
    <w:p w14:paraId="119A35AA" w14:textId="7B2FAA8E" w:rsidR="009E721A" w:rsidRDefault="007A3C51" w:rsidP="00817CB2">
      <w:pPr>
        <w:spacing w:after="160"/>
        <w:rPr>
          <w:b/>
          <w:bCs/>
        </w:rPr>
      </w:pPr>
      <w:bookmarkStart w:id="16" w:name="_Hlk184408826"/>
      <w:r w:rsidRPr="00161103">
        <w:rPr>
          <w:rStyle w:val="Heading4Char"/>
        </w:rPr>
        <w:t xml:space="preserve">Recommendation </w:t>
      </w:r>
      <w:r w:rsidR="00161103" w:rsidRPr="00161103">
        <w:rPr>
          <w:rStyle w:val="Heading4Char"/>
        </w:rPr>
        <w:t>4</w:t>
      </w:r>
      <w:r w:rsidRPr="00161103">
        <w:rPr>
          <w:rStyle w:val="Heading4Char"/>
        </w:rPr>
        <w:t>:</w:t>
      </w:r>
      <w:r>
        <w:rPr>
          <w:b/>
          <w:bCs/>
          <w:color w:val="7030A0"/>
        </w:rPr>
        <w:t xml:space="preserve"> </w:t>
      </w:r>
      <w:r w:rsidR="00591E25">
        <w:rPr>
          <w:b/>
          <w:bCs/>
        </w:rPr>
        <w:t>Federal and State and Territory Governments</w:t>
      </w:r>
      <w:r w:rsidR="009E721A">
        <w:rPr>
          <w:b/>
          <w:bCs/>
        </w:rPr>
        <w:t xml:space="preserve"> should provide an updated response to the recommendations of the </w:t>
      </w:r>
      <w:r w:rsidR="004F7415" w:rsidRPr="004F7415">
        <w:rPr>
          <w:b/>
          <w:bCs/>
        </w:rPr>
        <w:t>Royal Commission into Violence, Abuse, Neglect, and Exploitation of People with Disability</w:t>
      </w:r>
      <w:r w:rsidR="004F7415">
        <w:rPr>
          <w:b/>
          <w:bCs/>
        </w:rPr>
        <w:t xml:space="preserve"> that </w:t>
      </w:r>
      <w:r w:rsidR="00252540">
        <w:rPr>
          <w:b/>
          <w:bCs/>
        </w:rPr>
        <w:t xml:space="preserve">appropriately </w:t>
      </w:r>
      <w:r w:rsidR="004F7415">
        <w:rPr>
          <w:b/>
          <w:bCs/>
        </w:rPr>
        <w:t xml:space="preserve">reflects the importance and urgency of the Commission’s work. </w:t>
      </w:r>
      <w:r w:rsidR="00252540">
        <w:rPr>
          <w:b/>
          <w:bCs/>
        </w:rPr>
        <w:t xml:space="preserve">It should specify </w:t>
      </w:r>
      <w:r w:rsidR="00610DA8">
        <w:rPr>
          <w:b/>
          <w:bCs/>
        </w:rPr>
        <w:t>how Foundational Supports will align with the recommendations, particularly th</w:t>
      </w:r>
      <w:r w:rsidR="00A43A37">
        <w:rPr>
          <w:b/>
          <w:bCs/>
        </w:rPr>
        <w:t>ose</w:t>
      </w:r>
      <w:r w:rsidR="00610DA8">
        <w:rPr>
          <w:b/>
          <w:bCs/>
        </w:rPr>
        <w:t xml:space="preserve"> of the Commissioners with lived experience of disability to end segregation</w:t>
      </w:r>
      <w:r w:rsidR="00A43A37">
        <w:rPr>
          <w:b/>
          <w:bCs/>
        </w:rPr>
        <w:t xml:space="preserve">. </w:t>
      </w:r>
    </w:p>
    <w:bookmarkEnd w:id="16"/>
    <w:p w14:paraId="6EEC8397" w14:textId="77777777" w:rsidR="00C37774" w:rsidRPr="007A3C51" w:rsidRDefault="00C37774" w:rsidP="00F56CB4">
      <w:pPr>
        <w:spacing w:after="160"/>
        <w:jc w:val="both"/>
        <w:rPr>
          <w:b/>
        </w:rPr>
      </w:pPr>
    </w:p>
    <w:p w14:paraId="1CB0D1D7" w14:textId="2A0D2E31" w:rsidR="0003457E" w:rsidRDefault="0003457E" w:rsidP="00F56CB4">
      <w:pPr>
        <w:pStyle w:val="Heading2"/>
        <w:spacing w:after="160" w:line="360" w:lineRule="auto"/>
      </w:pPr>
      <w:bookmarkStart w:id="17" w:name="_Toc184414876"/>
      <w:r>
        <w:t>Principles to underpin the Foundational Supports Strategy</w:t>
      </w:r>
      <w:bookmarkEnd w:id="17"/>
    </w:p>
    <w:p w14:paraId="67B3C914" w14:textId="43426AD5" w:rsidR="00993437" w:rsidRDefault="00993437" w:rsidP="00382799">
      <w:pPr>
        <w:pStyle w:val="Heading3"/>
        <w:spacing w:after="160" w:line="360" w:lineRule="auto"/>
        <w:ind w:left="1225" w:hanging="505"/>
      </w:pPr>
      <w:bookmarkStart w:id="18" w:name="_Toc184414877"/>
      <w:r>
        <w:t>Inclusion not segregation</w:t>
      </w:r>
      <w:bookmarkEnd w:id="18"/>
      <w:r>
        <w:t xml:space="preserve"> </w:t>
      </w:r>
    </w:p>
    <w:p w14:paraId="37DF7A28" w14:textId="3C75932A" w:rsidR="0006269B" w:rsidRPr="00C375DC" w:rsidRDefault="00D21752" w:rsidP="00F56CB4">
      <w:pPr>
        <w:spacing w:after="160"/>
      </w:pPr>
      <w:r>
        <w:t xml:space="preserve">In every instance, </w:t>
      </w:r>
      <w:r w:rsidR="0007001F">
        <w:t xml:space="preserve">Foundational Supports should build inclusion, not perpetuate segregation. </w:t>
      </w:r>
      <w:r w:rsidR="0006269B" w:rsidRPr="00C375DC">
        <w:t xml:space="preserve">Segregated and congregated services do not </w:t>
      </w:r>
      <w:r w:rsidR="0004565E">
        <w:t>advance</w:t>
      </w:r>
      <w:r w:rsidR="0006269B" w:rsidRPr="00C375DC">
        <w:t xml:space="preserve"> people into inclusive lives in the way well-orchestrated inclusive services do. Proper inclusive education is better than segregated </w:t>
      </w:r>
      <w:r w:rsidR="00E73AEE">
        <w:t>‘</w:t>
      </w:r>
      <w:r w:rsidR="0006269B" w:rsidRPr="00C375DC">
        <w:t>special</w:t>
      </w:r>
      <w:r w:rsidR="00E73AEE">
        <w:t>’</w:t>
      </w:r>
      <w:r w:rsidR="0006269B" w:rsidRPr="00C375DC">
        <w:t xml:space="preserve"> education at positioning students for an inclusive adult life. Mainstream employers with an appreciation of workforce diversity offer more inclusive and fairer-waged employment than Australian Disability Enterprises</w:t>
      </w:r>
      <w:r w:rsidR="00E73AEE">
        <w:t xml:space="preserve"> (ADEs)</w:t>
      </w:r>
      <w:r w:rsidR="0006269B" w:rsidRPr="00C375DC">
        <w:t xml:space="preserve">. Housing that reflects what most Australians have, is better than group houses at positioning the occupants for ordinary </w:t>
      </w:r>
      <w:r w:rsidR="0004565E">
        <w:t xml:space="preserve">neighbourhood and </w:t>
      </w:r>
      <w:r w:rsidR="0006269B" w:rsidRPr="00C375DC">
        <w:t>community relationships.</w:t>
      </w:r>
    </w:p>
    <w:p w14:paraId="77C18F27" w14:textId="5484FAA1" w:rsidR="00BE22A2" w:rsidRPr="00C375DC" w:rsidRDefault="00993437" w:rsidP="00F56CB4">
      <w:pPr>
        <w:autoSpaceDE w:val="0"/>
        <w:autoSpaceDN w:val="0"/>
        <w:adjustRightInd w:val="0"/>
        <w:spacing w:after="160"/>
        <w:rPr>
          <w:rFonts w:ascii="Calibri" w:hAnsi="Calibri" w:cs="Calibri"/>
          <w:color w:val="000000"/>
        </w:rPr>
      </w:pPr>
      <w:r w:rsidRPr="00C375DC">
        <w:rPr>
          <w:rFonts w:ascii="Calibri" w:hAnsi="Calibri" w:cs="Calibri"/>
          <w:color w:val="000000"/>
        </w:rPr>
        <w:t xml:space="preserve">Foundational </w:t>
      </w:r>
      <w:r w:rsidR="0004565E">
        <w:rPr>
          <w:rFonts w:ascii="Calibri" w:hAnsi="Calibri" w:cs="Calibri"/>
          <w:color w:val="000000"/>
        </w:rPr>
        <w:t>S</w:t>
      </w:r>
      <w:r w:rsidRPr="00C375DC">
        <w:rPr>
          <w:rFonts w:ascii="Calibri" w:hAnsi="Calibri" w:cs="Calibri"/>
          <w:color w:val="000000"/>
        </w:rPr>
        <w:t>upports should not</w:t>
      </w:r>
      <w:r w:rsidR="00416CC1" w:rsidRPr="00416CC1">
        <w:rPr>
          <w:rFonts w:ascii="Calibri" w:hAnsi="Calibri" w:cs="Calibri"/>
          <w:color w:val="000000"/>
        </w:rPr>
        <w:t xml:space="preserve"> duplicate opportunities already present in communit</w:t>
      </w:r>
      <w:r w:rsidR="00E9171B">
        <w:rPr>
          <w:rFonts w:ascii="Calibri" w:hAnsi="Calibri" w:cs="Calibri"/>
          <w:color w:val="000000"/>
        </w:rPr>
        <w:t>ies</w:t>
      </w:r>
      <w:r w:rsidR="00416CC1" w:rsidRPr="00416CC1">
        <w:rPr>
          <w:rFonts w:ascii="Calibri" w:hAnsi="Calibri" w:cs="Calibri"/>
          <w:color w:val="000000"/>
        </w:rPr>
        <w:t xml:space="preserve">, for example setting up a </w:t>
      </w:r>
      <w:r w:rsidR="00E9171B">
        <w:rPr>
          <w:rFonts w:ascii="Calibri" w:hAnsi="Calibri" w:cs="Calibri"/>
          <w:color w:val="000000"/>
        </w:rPr>
        <w:t>‘</w:t>
      </w:r>
      <w:r w:rsidR="00416CC1" w:rsidRPr="00416CC1">
        <w:rPr>
          <w:rFonts w:ascii="Calibri" w:hAnsi="Calibri" w:cs="Calibri"/>
          <w:color w:val="000000"/>
        </w:rPr>
        <w:t>special</w:t>
      </w:r>
      <w:r w:rsidR="00E9171B">
        <w:rPr>
          <w:rFonts w:ascii="Calibri" w:hAnsi="Calibri" w:cs="Calibri"/>
          <w:color w:val="000000"/>
        </w:rPr>
        <w:t>’</w:t>
      </w:r>
      <w:r w:rsidR="00416CC1" w:rsidRPr="00416CC1">
        <w:rPr>
          <w:rFonts w:ascii="Calibri" w:hAnsi="Calibri" w:cs="Calibri"/>
          <w:color w:val="000000"/>
        </w:rPr>
        <w:t xml:space="preserve"> art class, choir, community garden, or similar, for people with disability when the local community already has these. When disability services create these duplicate services, not only is it a poor use of resources but it also serves to render genuine inclusion further out of reach. This is because, in their effects, these separate ‘special’ disability-focused services and programs reinforce a community perception that people with disability are best served by having separate ‘special’ stuff. This has been </w:t>
      </w:r>
      <w:r w:rsidR="00416CC1" w:rsidRPr="00416CC1">
        <w:rPr>
          <w:rFonts w:ascii="Calibri" w:hAnsi="Calibri" w:cs="Calibri"/>
          <w:color w:val="000000"/>
        </w:rPr>
        <w:lastRenderedPageBreak/>
        <w:t xml:space="preserve">termed ‘othering’. It kills true social, community, and economic participation and should have no place in </w:t>
      </w:r>
      <w:r w:rsidR="00354F1A">
        <w:rPr>
          <w:rFonts w:ascii="Calibri" w:hAnsi="Calibri" w:cs="Calibri"/>
          <w:color w:val="000000"/>
        </w:rPr>
        <w:t>the</w:t>
      </w:r>
      <w:r w:rsidR="00BE22A2" w:rsidRPr="00C375DC">
        <w:rPr>
          <w:rFonts w:ascii="Calibri" w:hAnsi="Calibri" w:cs="Calibri"/>
          <w:color w:val="000000"/>
        </w:rPr>
        <w:t xml:space="preserve"> design</w:t>
      </w:r>
      <w:r w:rsidR="00354F1A">
        <w:rPr>
          <w:rFonts w:ascii="Calibri" w:hAnsi="Calibri" w:cs="Calibri"/>
          <w:color w:val="000000"/>
        </w:rPr>
        <w:t xml:space="preserve"> of Foundational Supports</w:t>
      </w:r>
      <w:r w:rsidR="00416CC1" w:rsidRPr="00416CC1">
        <w:rPr>
          <w:rFonts w:ascii="Calibri" w:hAnsi="Calibri" w:cs="Calibri"/>
          <w:color w:val="000000"/>
        </w:rPr>
        <w:t xml:space="preserve">. </w:t>
      </w:r>
    </w:p>
    <w:p w14:paraId="1715E8C4" w14:textId="0A3B4563" w:rsidR="00416CC1" w:rsidRPr="00416CC1" w:rsidRDefault="00416CC1" w:rsidP="00F56CB4">
      <w:pPr>
        <w:autoSpaceDE w:val="0"/>
        <w:autoSpaceDN w:val="0"/>
        <w:adjustRightInd w:val="0"/>
        <w:spacing w:after="160"/>
        <w:rPr>
          <w:rFonts w:ascii="Calibri" w:hAnsi="Calibri" w:cs="Calibri"/>
          <w:color w:val="000000"/>
        </w:rPr>
      </w:pPr>
      <w:r w:rsidRPr="00416CC1">
        <w:rPr>
          <w:rFonts w:ascii="Calibri" w:hAnsi="Calibri" w:cs="Calibri"/>
          <w:color w:val="000000"/>
        </w:rPr>
        <w:t xml:space="preserve">Unfortunately, </w:t>
      </w:r>
      <w:r w:rsidR="00FC0C6A">
        <w:rPr>
          <w:rFonts w:ascii="Calibri" w:hAnsi="Calibri" w:cs="Calibri"/>
          <w:color w:val="000000"/>
        </w:rPr>
        <w:t>the NDIS already</w:t>
      </w:r>
      <w:r w:rsidRPr="00416CC1">
        <w:rPr>
          <w:rFonts w:ascii="Calibri" w:hAnsi="Calibri" w:cs="Calibri"/>
          <w:color w:val="000000"/>
        </w:rPr>
        <w:t xml:space="preserve"> does</w:t>
      </w:r>
      <w:r w:rsidR="00FC0C6A">
        <w:rPr>
          <w:rFonts w:ascii="Calibri" w:hAnsi="Calibri" w:cs="Calibri"/>
          <w:color w:val="000000"/>
        </w:rPr>
        <w:t xml:space="preserve"> this</w:t>
      </w:r>
      <w:r w:rsidRPr="00416CC1">
        <w:rPr>
          <w:rFonts w:ascii="Calibri" w:hAnsi="Calibri" w:cs="Calibri"/>
          <w:color w:val="000000"/>
        </w:rPr>
        <w:t xml:space="preserve">. For example, a NDIS participant told us they were prevented from using part of their funding to attend a local art class because it was not a ‘disability-related expense’. Instead, they were told one-to-one art therapy could be funded as an alternative. Not only is this an expensive alternative to a low-cost community resource that the participant was keen to access, but the therapist-led alternative cannot set the scene for authentic community connection and membership in the same way a local art class can. </w:t>
      </w:r>
      <w:r w:rsidR="00FC1177">
        <w:rPr>
          <w:rFonts w:ascii="Calibri" w:hAnsi="Calibri" w:cs="Calibri"/>
          <w:color w:val="000000"/>
        </w:rPr>
        <w:t xml:space="preserve">Now, despite directing participants into art therapy over </w:t>
      </w:r>
      <w:proofErr w:type="gramStart"/>
      <w:r w:rsidR="00FC1177">
        <w:rPr>
          <w:rFonts w:ascii="Calibri" w:hAnsi="Calibri" w:cs="Calibri"/>
          <w:color w:val="000000"/>
        </w:rPr>
        <w:t>a number of</w:t>
      </w:r>
      <w:proofErr w:type="gramEnd"/>
      <w:r w:rsidR="00FC1177">
        <w:rPr>
          <w:rFonts w:ascii="Calibri" w:hAnsi="Calibri" w:cs="Calibri"/>
          <w:color w:val="000000"/>
        </w:rPr>
        <w:t xml:space="preserve"> years, the National Disability Insurance Agency (NDIA) has announced a crackdown on people accessing art therapy through the NDIS.</w:t>
      </w:r>
      <w:r w:rsidR="00FC1177">
        <w:rPr>
          <w:rStyle w:val="FootnoteReference"/>
          <w:rFonts w:ascii="Calibri" w:hAnsi="Calibri" w:cs="Calibri"/>
          <w:color w:val="000000"/>
        </w:rPr>
        <w:footnoteReference w:id="14"/>
      </w:r>
      <w:r w:rsidR="00FC1177">
        <w:rPr>
          <w:rFonts w:ascii="Calibri" w:hAnsi="Calibri" w:cs="Calibri"/>
          <w:color w:val="000000"/>
        </w:rPr>
        <w:t xml:space="preserve"> </w:t>
      </w:r>
      <w:r w:rsidR="004C205A">
        <w:rPr>
          <w:rFonts w:ascii="Calibri" w:hAnsi="Calibri" w:cs="Calibri"/>
          <w:color w:val="000000"/>
        </w:rPr>
        <w:t xml:space="preserve">This typifies </w:t>
      </w:r>
      <w:r w:rsidR="008E5986">
        <w:rPr>
          <w:rFonts w:ascii="Calibri" w:hAnsi="Calibri" w:cs="Calibri"/>
          <w:color w:val="000000"/>
        </w:rPr>
        <w:t xml:space="preserve">the type of </w:t>
      </w:r>
      <w:r w:rsidR="002A13E4">
        <w:rPr>
          <w:rFonts w:ascii="Calibri" w:hAnsi="Calibri" w:cs="Calibri"/>
          <w:color w:val="000000"/>
        </w:rPr>
        <w:t>incoherent</w:t>
      </w:r>
      <w:r w:rsidR="008E5986">
        <w:rPr>
          <w:rFonts w:ascii="Calibri" w:hAnsi="Calibri" w:cs="Calibri"/>
          <w:color w:val="000000"/>
        </w:rPr>
        <w:t xml:space="preserve"> design that Foundational Supports must avoid. </w:t>
      </w:r>
    </w:p>
    <w:p w14:paraId="69D4D079" w14:textId="3E8F77E7" w:rsidR="00416CC1" w:rsidRPr="00C375DC" w:rsidRDefault="00416CC1" w:rsidP="00F56CB4">
      <w:pPr>
        <w:spacing w:after="160"/>
      </w:pPr>
      <w:r w:rsidRPr="00C375DC">
        <w:rPr>
          <w:rFonts w:ascii="Calibri" w:hAnsi="Calibri" w:cs="Calibri"/>
          <w:color w:val="000000"/>
        </w:rPr>
        <w:t xml:space="preserve">Ordinary neighbourhood resources and opportunities available to all local people are a natural gateway to community membership. They bring meaningful valued roles </w:t>
      </w:r>
      <w:r w:rsidRPr="00C375DC">
        <w:rPr>
          <w:rFonts w:ascii="Calibri" w:hAnsi="Calibri" w:cs="Calibri"/>
          <w:b/>
          <w:bCs/>
          <w:color w:val="000000"/>
        </w:rPr>
        <w:t>readily available in our communities</w:t>
      </w:r>
      <w:r w:rsidRPr="00C375DC">
        <w:rPr>
          <w:rFonts w:ascii="Calibri" w:hAnsi="Calibri" w:cs="Calibri"/>
          <w:color w:val="000000"/>
        </w:rPr>
        <w:t>, often at low or no cost. Assisting a person to connect to these resources and opportunities can lead to a snowballing of connections and relationships for a person over time. The stories below illustrate this.</w:t>
      </w:r>
    </w:p>
    <w:p w14:paraId="60A5778C" w14:textId="1672DE52" w:rsidR="00BD298F" w:rsidRPr="00BD298F" w:rsidRDefault="00BD298F" w:rsidP="00F56CB4">
      <w:pPr>
        <w:spacing w:after="160"/>
      </w:pPr>
      <w:r w:rsidRPr="00BD298F">
        <w:rPr>
          <w:b/>
          <w:bCs/>
        </w:rPr>
        <w:t xml:space="preserve">Jarrod’s </w:t>
      </w:r>
      <w:r w:rsidR="00BB1BAA">
        <w:rPr>
          <w:b/>
          <w:bCs/>
        </w:rPr>
        <w:t>s</w:t>
      </w:r>
      <w:r w:rsidRPr="00BD298F">
        <w:rPr>
          <w:b/>
          <w:bCs/>
        </w:rPr>
        <w:t xml:space="preserve">tory: </w:t>
      </w:r>
    </w:p>
    <w:p w14:paraId="46E82B92" w14:textId="1902B564" w:rsidR="00BD298F" w:rsidRPr="00BD298F" w:rsidRDefault="00BD298F" w:rsidP="00F56CB4">
      <w:pPr>
        <w:spacing w:after="160"/>
      </w:pPr>
      <w:r w:rsidRPr="00BD298F">
        <w:t>Jarrod</w:t>
      </w:r>
      <w:r w:rsidR="00F974A8">
        <w:t xml:space="preserve"> (name changed)</w:t>
      </w:r>
      <w:r w:rsidRPr="00BD298F">
        <w:t xml:space="preserve"> lives in a regional town and has little connection with his neighbours. As a person with high physical support needs who uses a powered wheelchair, he wonders how he might build relationships in his local community. Jarrod realises that many of his neighbours are not home during the day while he usually is. He lets his neighbours know that he can be available to receive parcel deliveries during the day so they can avoid the nuisance of following up delivery notification slips at the post office, which also has limited opening hours during the day. Jarrod’s neighbours take up his generous offer and over time he begins to get to know each of them. These connections evolve into genuine relationships and Jarrod is drawn into other gatherings and opportunities as a valued member of his local neighbourhood. </w:t>
      </w:r>
    </w:p>
    <w:p w14:paraId="53DC6797" w14:textId="1942102A" w:rsidR="00BD298F" w:rsidRPr="00BD298F" w:rsidRDefault="00BD298F" w:rsidP="00F56CB4">
      <w:pPr>
        <w:spacing w:after="160"/>
      </w:pPr>
      <w:r w:rsidRPr="00BD298F">
        <w:rPr>
          <w:b/>
          <w:bCs/>
        </w:rPr>
        <w:lastRenderedPageBreak/>
        <w:t xml:space="preserve">Ethan’s </w:t>
      </w:r>
      <w:r w:rsidR="00BB1BAA">
        <w:rPr>
          <w:b/>
          <w:bCs/>
        </w:rPr>
        <w:t>s</w:t>
      </w:r>
      <w:r w:rsidRPr="00BD298F">
        <w:rPr>
          <w:b/>
          <w:bCs/>
        </w:rPr>
        <w:t xml:space="preserve">tory: </w:t>
      </w:r>
    </w:p>
    <w:p w14:paraId="78011BAF" w14:textId="0E232AF1" w:rsidR="00BD298F" w:rsidRPr="00C375DC" w:rsidRDefault="00BD298F" w:rsidP="00F56CB4">
      <w:pPr>
        <w:spacing w:after="160"/>
      </w:pPr>
      <w:r w:rsidRPr="00C375DC">
        <w:t xml:space="preserve">Ethan </w:t>
      </w:r>
      <w:r w:rsidR="00F974A8">
        <w:t xml:space="preserve">(name changed) </w:t>
      </w:r>
      <w:r w:rsidRPr="00C375DC">
        <w:t>lives with intellectual disability and is a keen member of his local Scouts group. But with his 18th birthday fast approaching, Ethan will soon be too old to continue attending Scouts, and he will lose this valued role that brings him membership in his community. He wants to continue. The Scout leaders recognise Ethan’s enthusiasm, and his gift of being able to capture the attention of the younger Scouts and ensure they follow directions. They invite him to become a Scout leader and shape the role to best suit his strengths. Ethan thrives in his new role and becomes a valued and integral part of the leadership team for his local Scouts group.</w:t>
      </w:r>
    </w:p>
    <w:p w14:paraId="63F97C4F" w14:textId="4CFDDFE8" w:rsidR="00E936CD" w:rsidRPr="00E936CD" w:rsidRDefault="00E936CD" w:rsidP="00F56CB4">
      <w:pPr>
        <w:spacing w:after="160"/>
      </w:pPr>
      <w:r w:rsidRPr="00C375DC">
        <w:t>A</w:t>
      </w:r>
      <w:r w:rsidRPr="00E936CD">
        <w:t xml:space="preserve"> key goal of </w:t>
      </w:r>
      <w:r w:rsidRPr="00C375DC">
        <w:t>Foundational Supports</w:t>
      </w:r>
      <w:r w:rsidRPr="00E936CD">
        <w:t xml:space="preserve"> </w:t>
      </w:r>
      <w:r w:rsidRPr="00C375DC">
        <w:t xml:space="preserve">should be to </w:t>
      </w:r>
      <w:r w:rsidRPr="00E936CD">
        <w:t xml:space="preserve">create the circumstances where informal connections are </w:t>
      </w:r>
      <w:proofErr w:type="gramStart"/>
      <w:r w:rsidRPr="00E936CD">
        <w:t>made</w:t>
      </w:r>
      <w:proofErr w:type="gramEnd"/>
      <w:r w:rsidRPr="00E936CD">
        <w:t xml:space="preserve"> and relationships </w:t>
      </w:r>
      <w:r w:rsidR="00F51C05">
        <w:t xml:space="preserve">are </w:t>
      </w:r>
      <w:r w:rsidRPr="00E936CD">
        <w:t xml:space="preserve">built. It is through these connections that new, freely given, informal supports emerge. For example, any one of us might join a new community event, like a community garden, get to know other people there, and as a result start gaining mutual benefits, such as assisting each other through car-pooling, or grabbing a coffee afterwards, in the way acquaintances and friends do. </w:t>
      </w:r>
    </w:p>
    <w:p w14:paraId="3CE8F4A3" w14:textId="254A632B" w:rsidR="00A9161A" w:rsidRDefault="00E936CD" w:rsidP="00E52880">
      <w:pPr>
        <w:spacing w:after="160"/>
      </w:pPr>
      <w:r w:rsidRPr="00C375DC">
        <w:t xml:space="preserve">In turn, this means </w:t>
      </w:r>
      <w:r w:rsidR="00854D2E">
        <w:t xml:space="preserve">the </w:t>
      </w:r>
      <w:r w:rsidR="009A0D99" w:rsidRPr="00C375DC">
        <w:t xml:space="preserve">Foundational Support </w:t>
      </w:r>
      <w:r w:rsidRPr="00C375DC">
        <w:t xml:space="preserve">workforce </w:t>
      </w:r>
      <w:r w:rsidR="00675BB2">
        <w:t xml:space="preserve">should be shaped </w:t>
      </w:r>
      <w:r w:rsidRPr="00C375DC">
        <w:t xml:space="preserve">so the centre-of-gravity is not about skills in running activities, but, instead, is about the </w:t>
      </w:r>
      <w:r w:rsidRPr="00C375DC">
        <w:rPr>
          <w:b/>
          <w:bCs/>
        </w:rPr>
        <w:t>art and craft of facilitating opportunities for authentic connection</w:t>
      </w:r>
      <w:r w:rsidRPr="00C375DC">
        <w:t xml:space="preserve">, with the diplomacy and advocacy that this work requires. Arguably, this </w:t>
      </w:r>
      <w:r w:rsidR="009A0D99" w:rsidRPr="00C375DC">
        <w:t>would be</w:t>
      </w:r>
      <w:r w:rsidRPr="00C375DC">
        <w:t xml:space="preserve"> the most compelling measure of </w:t>
      </w:r>
      <w:r w:rsidR="009A0D99" w:rsidRPr="00C375DC">
        <w:t>Foundational Supports’</w:t>
      </w:r>
      <w:r w:rsidRPr="00C375DC">
        <w:t xml:space="preserve"> success in </w:t>
      </w:r>
      <w:r w:rsidR="0074718F" w:rsidRPr="00C375DC">
        <w:t>building community participation:</w:t>
      </w:r>
      <w:r w:rsidRPr="00C375DC">
        <w:t xml:space="preserve"> the presence of new people in the person’s life who choose to be there as friends and acquaintances, and who bring supports in the way friends and acquaintances d</w:t>
      </w:r>
      <w:r w:rsidR="008B703D">
        <w:t>o.</w:t>
      </w:r>
    </w:p>
    <w:p w14:paraId="58C25416" w14:textId="5223FF3C" w:rsidR="008B703D" w:rsidRDefault="00B607E3" w:rsidP="00E52880">
      <w:pPr>
        <w:spacing w:after="160"/>
        <w:rPr>
          <w:b/>
          <w:bCs/>
        </w:rPr>
      </w:pPr>
      <w:bookmarkStart w:id="19" w:name="_Hlk184408837"/>
      <w:r w:rsidRPr="00B607E3">
        <w:rPr>
          <w:rStyle w:val="Heading4Char"/>
        </w:rPr>
        <w:t>Recommendation 5:</w:t>
      </w:r>
      <w:r>
        <w:t xml:space="preserve"> </w:t>
      </w:r>
      <w:r w:rsidR="00030DCC">
        <w:rPr>
          <w:b/>
          <w:bCs/>
        </w:rPr>
        <w:t>Federal and State and Territory Governments</w:t>
      </w:r>
      <w:r w:rsidRPr="00B607E3">
        <w:rPr>
          <w:b/>
          <w:bCs/>
        </w:rPr>
        <w:t xml:space="preserve"> should assess each element of Foundational Supports according to whether it serves to increase inclusion rather than perpetuate segregation. Supports that perpetuate segregation should not be funded.</w:t>
      </w:r>
    </w:p>
    <w:bookmarkEnd w:id="19"/>
    <w:p w14:paraId="0326A0A2" w14:textId="77777777" w:rsidR="007F23C3" w:rsidRDefault="007F23C3" w:rsidP="00E52880">
      <w:pPr>
        <w:spacing w:after="160"/>
        <w:rPr>
          <w:b/>
          <w:bCs/>
        </w:rPr>
      </w:pPr>
    </w:p>
    <w:p w14:paraId="15468486" w14:textId="77777777" w:rsidR="007F23C3" w:rsidRDefault="007F23C3" w:rsidP="00E52880">
      <w:pPr>
        <w:spacing w:after="160"/>
        <w:rPr>
          <w:b/>
          <w:bCs/>
        </w:rPr>
      </w:pPr>
    </w:p>
    <w:p w14:paraId="16BA8977" w14:textId="77777777" w:rsidR="007F23C3" w:rsidRPr="003E561D" w:rsidRDefault="007F23C3" w:rsidP="00E52880">
      <w:pPr>
        <w:spacing w:after="160"/>
        <w:rPr>
          <w:b/>
          <w:bCs/>
        </w:rPr>
      </w:pPr>
    </w:p>
    <w:p w14:paraId="57496367" w14:textId="77777777" w:rsidR="00A56AE5" w:rsidRDefault="00A56AE5" w:rsidP="00B95BDD">
      <w:pPr>
        <w:pStyle w:val="Heading3"/>
        <w:numPr>
          <w:ilvl w:val="2"/>
          <w:numId w:val="11"/>
        </w:numPr>
        <w:spacing w:after="160" w:line="360" w:lineRule="auto"/>
        <w:ind w:left="1225" w:hanging="505"/>
      </w:pPr>
      <w:bookmarkStart w:id="20" w:name="_Toc184414878"/>
      <w:r>
        <w:lastRenderedPageBreak/>
        <w:t xml:space="preserve">Consistent and </w:t>
      </w:r>
      <w:r w:rsidRPr="003D5B90">
        <w:t>adequate</w:t>
      </w:r>
      <w:r>
        <w:t xml:space="preserve"> long-term funding needed</w:t>
      </w:r>
      <w:bookmarkEnd w:id="20"/>
    </w:p>
    <w:p w14:paraId="35773C83" w14:textId="0EBB6EAE" w:rsidR="00A56AE5" w:rsidRDefault="00444696" w:rsidP="00E52880">
      <w:pPr>
        <w:spacing w:after="160"/>
      </w:pPr>
      <w:r>
        <w:t xml:space="preserve">It is broadly agreed the </w:t>
      </w:r>
      <w:r w:rsidR="00A56AE5" w:rsidRPr="00F20CE2">
        <w:t xml:space="preserve">ILC program </w:t>
      </w:r>
      <w:r>
        <w:t>has not had</w:t>
      </w:r>
      <w:r w:rsidR="00A56AE5" w:rsidRPr="00F20CE2">
        <w:t xml:space="preserve"> the extent of impact it could</w:t>
      </w:r>
      <w:r w:rsidR="00A56AE5">
        <w:t xml:space="preserve"> have had</w:t>
      </w:r>
      <w:r w:rsidR="00A56AE5" w:rsidRPr="00F20CE2">
        <w:t xml:space="preserve">. </w:t>
      </w:r>
      <w:r w:rsidR="00704E74">
        <w:t xml:space="preserve">It has also been the only program </w:t>
      </w:r>
      <w:r w:rsidR="00F51B09">
        <w:t xml:space="preserve">constituting a ‘Tier 2’ of supports, as originally described by the </w:t>
      </w:r>
      <w:r w:rsidR="00E95F66">
        <w:t>Productivity</w:t>
      </w:r>
      <w:r w:rsidR="00F51B09">
        <w:t xml:space="preserve"> </w:t>
      </w:r>
      <w:r w:rsidR="00E95F66">
        <w:t xml:space="preserve">Commission. </w:t>
      </w:r>
      <w:r w:rsidR="00A56AE5" w:rsidRPr="00F20CE2">
        <w:t xml:space="preserve">There </w:t>
      </w:r>
      <w:r w:rsidR="00A56AE5">
        <w:t>w</w:t>
      </w:r>
      <w:r w:rsidR="00A56AE5" w:rsidRPr="00F20CE2">
        <w:t>e</w:t>
      </w:r>
      <w:r w:rsidR="00A56AE5">
        <w:t>re</w:t>
      </w:r>
      <w:r w:rsidR="00A56AE5" w:rsidRPr="00F20CE2">
        <w:t xml:space="preserve"> several reasons for this. First, and perhaps most importantly, </w:t>
      </w:r>
      <w:r w:rsidR="00A56AE5">
        <w:t>t</w:t>
      </w:r>
      <w:r w:rsidR="00A56AE5" w:rsidRPr="001824A0">
        <w:t xml:space="preserve">he </w:t>
      </w:r>
      <w:r w:rsidR="00E95F66">
        <w:t xml:space="preserve">proportion of </w:t>
      </w:r>
      <w:r w:rsidR="00A56AE5" w:rsidRPr="001824A0">
        <w:t xml:space="preserve">funding allocated to the ILC program </w:t>
      </w:r>
      <w:r w:rsidR="00A56AE5">
        <w:t>wa</w:t>
      </w:r>
      <w:r w:rsidR="00A56AE5" w:rsidRPr="001824A0">
        <w:t xml:space="preserve">s tiny compared to the overall cost of the Scheme. Given the importance of </w:t>
      </w:r>
      <w:r w:rsidR="00A56AE5">
        <w:t>Foundational Supports</w:t>
      </w:r>
      <w:r w:rsidR="00A56AE5" w:rsidRPr="001824A0">
        <w:t xml:space="preserve"> to the Scheme’s </w:t>
      </w:r>
      <w:r w:rsidR="00A93C03">
        <w:t xml:space="preserve">future </w:t>
      </w:r>
      <w:r w:rsidR="00A56AE5" w:rsidRPr="001824A0">
        <w:t xml:space="preserve">success and sustainability, there needs to be a much </w:t>
      </w:r>
      <w:r w:rsidR="00A93C03">
        <w:t>more significant investment</w:t>
      </w:r>
      <w:r w:rsidR="00A56AE5" w:rsidRPr="001824A0">
        <w:t xml:space="preserve"> of funds to</w:t>
      </w:r>
      <w:r w:rsidR="00A56AE5">
        <w:t xml:space="preserve"> these than was allocated to</w:t>
      </w:r>
      <w:r w:rsidR="00A56AE5" w:rsidRPr="001824A0">
        <w:t xml:space="preserve"> ILC.</w:t>
      </w:r>
    </w:p>
    <w:p w14:paraId="3BD20BED" w14:textId="042060EA" w:rsidR="00055C61" w:rsidRDefault="00055C61" w:rsidP="00E52880">
      <w:pPr>
        <w:spacing w:after="160"/>
      </w:pPr>
      <w:r w:rsidRPr="00CD5E48">
        <w:t xml:space="preserve">Notably, the Productivity Commission’s 2017 report on NDIS costs cautioned governments about a </w:t>
      </w:r>
      <w:r>
        <w:t>‘</w:t>
      </w:r>
      <w:r w:rsidRPr="00CD5E48">
        <w:t>false economy</w:t>
      </w:r>
      <w:r>
        <w:t>’</w:t>
      </w:r>
      <w:r w:rsidRPr="00CD5E48">
        <w:t xml:space="preserve"> of investing </w:t>
      </w:r>
      <w:r>
        <w:t>‘</w:t>
      </w:r>
      <w:r w:rsidRPr="00CD5E48">
        <w:t>too few resources for ILC</w:t>
      </w:r>
      <w:r>
        <w:t>’</w:t>
      </w:r>
      <w:r w:rsidRPr="00CD5E48">
        <w:t xml:space="preserve"> during the transition period</w:t>
      </w:r>
      <w:r>
        <w:rPr>
          <w:rStyle w:val="FootnoteReference"/>
        </w:rPr>
        <w:footnoteReference w:id="15"/>
      </w:r>
      <w:r w:rsidRPr="00CD5E48">
        <w:t xml:space="preserve"> and the same principle </w:t>
      </w:r>
      <w:r>
        <w:t>applies to the design of Foundational Supports</w:t>
      </w:r>
      <w:r w:rsidRPr="00CD5E48">
        <w:t xml:space="preserve">. </w:t>
      </w:r>
      <w:r>
        <w:t>The NDIS Review called for ‘sizeable increases in investment’</w:t>
      </w:r>
      <w:r>
        <w:rPr>
          <w:rStyle w:val="FootnoteReference"/>
        </w:rPr>
        <w:footnoteReference w:id="16"/>
      </w:r>
      <w:r>
        <w:t xml:space="preserve"> and criticised ILC funding for not matching the Framework’s ambition.</w:t>
      </w:r>
      <w:r>
        <w:rPr>
          <w:rStyle w:val="FootnoteReference"/>
        </w:rPr>
        <w:footnoteReference w:id="17"/>
      </w:r>
      <w:r>
        <w:t xml:space="preserve"> </w:t>
      </w:r>
      <w:r w:rsidRPr="00B60592">
        <w:t>Without broader structures and supports in</w:t>
      </w:r>
      <w:r w:rsidRPr="00CD5E48">
        <w:t xml:space="preserve"> place</w:t>
      </w:r>
      <w:r>
        <w:t>,</w:t>
      </w:r>
      <w:r w:rsidRPr="00CD5E48">
        <w:t xml:space="preserve"> more people are pushed toward seeking individualised supports through a NDIS plan, which can adversely affect Scheme costs and sustainability. Research from Swinburne University also raised concerns about the limited investment in ILC and the need for longer-term ongoing funding to overcome the problems of stop-start short-term projects including the undermining of trust among participants and loss of key personnel from projects due to funding uncertainty.</w:t>
      </w:r>
      <w:r>
        <w:rPr>
          <w:rStyle w:val="FootnoteReference"/>
        </w:rPr>
        <w:footnoteReference w:id="18"/>
      </w:r>
      <w:r w:rsidRPr="00CD5E48">
        <w:t xml:space="preserve"> This research also highlights the need to reconsider the current approach to commissioning, develop a clearer strategy and targets, provide greater long-term coordination, and increase knowledge sharing to facilitate the scaling of successful projects.</w:t>
      </w:r>
      <w:r>
        <w:t xml:space="preserve"> Increased funding must be accompanied by stronger government leadership.</w:t>
      </w:r>
    </w:p>
    <w:p w14:paraId="2DE3FF9F" w14:textId="608D2770" w:rsidR="00145142" w:rsidRDefault="00A56AE5" w:rsidP="00A56AE5">
      <w:pPr>
        <w:spacing w:after="160"/>
      </w:pPr>
      <w:r w:rsidRPr="00157F37">
        <w:t xml:space="preserve">Second, ILC funding </w:t>
      </w:r>
      <w:r>
        <w:t>has been</w:t>
      </w:r>
      <w:r w:rsidRPr="00157F37">
        <w:t xml:space="preserve"> allocated to specific time-limited projects. While a project basis and a timeframe can be helpful in clarifying what will be delivered, by when, with what </w:t>
      </w:r>
      <w:r w:rsidRPr="00157F37">
        <w:lastRenderedPageBreak/>
        <w:t>benefit, and to which people, it d</w:t>
      </w:r>
      <w:r>
        <w:t>oes</w:t>
      </w:r>
      <w:r w:rsidRPr="00157F37">
        <w:t xml:space="preserve"> not deliver sustained benefits. This is because most ILC-type work can be described as a ‘slow burn’. Based on our own long experience with the types of initiatives that are funded by ILC, and as is true for community development generally, it takes time to build momentum. People do not just show up on the first day of an initiative. It takes time to grow awareness of the opportunity; it takes time for people to decide to get involved; it takes time for a methodology to be established, tested, and evolved; it takes time for participants in ILC-type initiatives to unlearn the low expectations and biases of their past; it takes time to build belief in what might be possible, and so on. Because of this, by the time the initiative has built real momentum, the funding is coming to an end. The project finishes and momentum </w:t>
      </w:r>
      <w:proofErr w:type="gramStart"/>
      <w:r w:rsidRPr="00157F37">
        <w:t>is</w:t>
      </w:r>
      <w:proofErr w:type="gramEnd"/>
      <w:r w:rsidRPr="00157F37">
        <w:t xml:space="preserve"> lost. </w:t>
      </w:r>
    </w:p>
    <w:p w14:paraId="3A593C1E" w14:textId="4CC8CB38" w:rsidR="00A56AE5" w:rsidRPr="00157F37" w:rsidRDefault="00A56AE5" w:rsidP="00A56AE5">
      <w:pPr>
        <w:spacing w:after="160"/>
      </w:pPr>
      <w:r w:rsidRPr="00157F37">
        <w:t>Or, as</w:t>
      </w:r>
      <w:r w:rsidR="00F11297">
        <w:t xml:space="preserve"> </w:t>
      </w:r>
      <w:r w:rsidRPr="00157F37">
        <w:t>happened</w:t>
      </w:r>
      <w:r w:rsidR="00F11297">
        <w:t xml:space="preserve"> recently</w:t>
      </w:r>
      <w:r w:rsidRPr="00157F37">
        <w:t xml:space="preserve"> in the ILC program, there </w:t>
      </w:r>
      <w:r>
        <w:t>wa</w:t>
      </w:r>
      <w:r w:rsidRPr="00157F37">
        <w:t xml:space="preserve">s a period of uncertainty before funding </w:t>
      </w:r>
      <w:r w:rsidR="00F11297">
        <w:t>was</w:t>
      </w:r>
      <w:r w:rsidRPr="00157F37">
        <w:t xml:space="preserve"> extended, during which time project staff le</w:t>
      </w:r>
      <w:r>
        <w:t>ft</w:t>
      </w:r>
      <w:r w:rsidRPr="00157F37">
        <w:t xml:space="preserve"> for work elsewhere because they need</w:t>
      </w:r>
      <w:r>
        <w:t>ed</w:t>
      </w:r>
      <w:r w:rsidRPr="00157F37">
        <w:t xml:space="preserve"> </w:t>
      </w:r>
      <w:r w:rsidR="000D1074">
        <w:t xml:space="preserve">employment </w:t>
      </w:r>
      <w:r w:rsidRPr="00157F37">
        <w:t xml:space="preserve">certainty themselves. Again, momentum </w:t>
      </w:r>
      <w:r>
        <w:t>wa</w:t>
      </w:r>
      <w:r w:rsidRPr="00157F37">
        <w:t>s lost. Therefore,</w:t>
      </w:r>
      <w:r>
        <w:t xml:space="preserve"> as found by the NDIS Review</w:t>
      </w:r>
      <w:r>
        <w:rPr>
          <w:rStyle w:val="FootnoteReference"/>
        </w:rPr>
        <w:footnoteReference w:id="19"/>
      </w:r>
      <w:r>
        <w:t>,</w:t>
      </w:r>
      <w:r w:rsidRPr="00157F37">
        <w:t xml:space="preserve"> </w:t>
      </w:r>
      <w:r>
        <w:t>Foundational Supports</w:t>
      </w:r>
      <w:r w:rsidRPr="00157F37">
        <w:t xml:space="preserve"> should be accountable for the work they</w:t>
      </w:r>
      <w:r>
        <w:t xml:space="preserve"> will</w:t>
      </w:r>
      <w:r w:rsidRPr="00157F37">
        <w:t xml:space="preserve"> undertake and how </w:t>
      </w:r>
      <w:r>
        <w:t>they</w:t>
      </w:r>
      <w:r w:rsidRPr="00157F37">
        <w:t xml:space="preserve"> impact, </w:t>
      </w:r>
      <w:r>
        <w:t xml:space="preserve">but </w:t>
      </w:r>
      <w:r w:rsidRPr="00157F37">
        <w:t xml:space="preserve">it should be within a longer funding timeframe where momentum can be properly consolidated, so </w:t>
      </w:r>
      <w:r w:rsidR="00D57E35">
        <w:t>people with disability</w:t>
      </w:r>
      <w:r w:rsidRPr="00157F37">
        <w:t xml:space="preserve"> get the sorely needed</w:t>
      </w:r>
      <w:r w:rsidR="00D57E35">
        <w:t>,</w:t>
      </w:r>
      <w:r w:rsidRPr="00157F37">
        <w:t xml:space="preserve"> mission-related benefits ILC</w:t>
      </w:r>
      <w:r w:rsidR="00D57E35">
        <w:t>,</w:t>
      </w:r>
      <w:r>
        <w:t xml:space="preserve"> and </w:t>
      </w:r>
      <w:r w:rsidR="00D57E35">
        <w:t xml:space="preserve">indeed </w:t>
      </w:r>
      <w:r>
        <w:t>Tier 2</w:t>
      </w:r>
      <w:r w:rsidR="00D57E35">
        <w:t>,</w:t>
      </w:r>
      <w:r>
        <w:t xml:space="preserve"> </w:t>
      </w:r>
      <w:r w:rsidRPr="00157F37">
        <w:t xml:space="preserve">was intended to deliver. </w:t>
      </w:r>
    </w:p>
    <w:p w14:paraId="0C640C2A" w14:textId="504A8C80" w:rsidR="00A56AE5" w:rsidRDefault="00A56AE5" w:rsidP="00A56AE5">
      <w:pPr>
        <w:spacing w:after="160"/>
      </w:pPr>
      <w:r w:rsidRPr="00157F37">
        <w:t xml:space="preserve">Third, </w:t>
      </w:r>
      <w:r>
        <w:t>Foundational Supports</w:t>
      </w:r>
      <w:r w:rsidRPr="00157F37">
        <w:t xml:space="preserve"> need to be </w:t>
      </w:r>
      <w:r w:rsidRPr="00157F37">
        <w:rPr>
          <w:b/>
          <w:bCs/>
        </w:rPr>
        <w:t xml:space="preserve">commissioned in ways that do not inadvertently exclude good agencies </w:t>
      </w:r>
      <w:r>
        <w:t>that</w:t>
      </w:r>
      <w:r w:rsidRPr="00157F37">
        <w:t xml:space="preserve"> lack the skills to write winning grant applications. This happened </w:t>
      </w:r>
      <w:r>
        <w:t xml:space="preserve">in the </w:t>
      </w:r>
      <w:r w:rsidRPr="00157F37">
        <w:t xml:space="preserve">ILC program, where small local agencies with good capacity or potential to deliver ILC-type benefits </w:t>
      </w:r>
      <w:r>
        <w:t>were</w:t>
      </w:r>
      <w:r w:rsidRPr="00157F37">
        <w:t xml:space="preserve"> unsuccessful in accessing funds because their skill set did not include writing a competitive grant application. This method of commissioning needs to be reworked</w:t>
      </w:r>
      <w:r>
        <w:t xml:space="preserve"> with Foundational Supports</w:t>
      </w:r>
      <w:r w:rsidRPr="00157F37">
        <w:t xml:space="preserve"> if </w:t>
      </w:r>
      <w:r w:rsidR="00F92D24">
        <w:t>governments are</w:t>
      </w:r>
      <w:r w:rsidRPr="00157F37">
        <w:t xml:space="preserve"> to maximise benefits from the skills of local agencies</w:t>
      </w:r>
      <w:r w:rsidR="00F92D24">
        <w:t xml:space="preserve"> and their grassroots knowledge and connections</w:t>
      </w:r>
      <w:r w:rsidRPr="00157F37">
        <w:t>.</w:t>
      </w:r>
    </w:p>
    <w:p w14:paraId="4F604221" w14:textId="696BA1A8" w:rsidR="00A56AE5" w:rsidRDefault="00A56AE5" w:rsidP="00A56AE5">
      <w:pPr>
        <w:spacing w:after="160"/>
      </w:pPr>
      <w:r w:rsidRPr="00C83A0E">
        <w:t xml:space="preserve">Fourth, </w:t>
      </w:r>
      <w:r>
        <w:t>Foundational Support</w:t>
      </w:r>
      <w:r w:rsidR="007A424D">
        <w:t>s</w:t>
      </w:r>
      <w:r w:rsidRPr="00C83A0E">
        <w:t xml:space="preserve"> commissioning, with an assumed larger resource pool, needs to be built around a more </w:t>
      </w:r>
      <w:r w:rsidRPr="00C83A0E">
        <w:rPr>
          <w:b/>
          <w:bCs/>
        </w:rPr>
        <w:t>strategically coherent and public-facing strategy</w:t>
      </w:r>
      <w:r w:rsidRPr="00C83A0E">
        <w:t xml:space="preserve">. This strategy should recognise the critical importance of </w:t>
      </w:r>
      <w:r>
        <w:t>Foundational Supports</w:t>
      </w:r>
      <w:r w:rsidRPr="00C83A0E">
        <w:t xml:space="preserve">, the role of a range of community agencies in delivering it, and the need for a commissioning framework that </w:t>
      </w:r>
      <w:r w:rsidRPr="00C83A0E">
        <w:lastRenderedPageBreak/>
        <w:t xml:space="preserve">ensures a synergistic approach to awarding grants to provide good coverage and reduce the risk of duplication </w:t>
      </w:r>
      <w:r w:rsidR="004C0C2A">
        <w:t>and</w:t>
      </w:r>
      <w:r w:rsidRPr="00C83A0E">
        <w:t xml:space="preserve"> gaps. </w:t>
      </w:r>
      <w:r w:rsidR="00673A43">
        <w:t>The ILC program has lacked such a strategy especially recently.</w:t>
      </w:r>
    </w:p>
    <w:p w14:paraId="38ED46D7" w14:textId="7B417C30" w:rsidR="00A56AE5" w:rsidRDefault="00A56AE5" w:rsidP="00BF5365">
      <w:pPr>
        <w:spacing w:after="160"/>
        <w:rPr>
          <w:b/>
          <w:bCs/>
        </w:rPr>
      </w:pPr>
      <w:bookmarkStart w:id="21" w:name="_Hlk184408847"/>
      <w:r w:rsidRPr="00150417">
        <w:rPr>
          <w:rStyle w:val="Heading4Char"/>
        </w:rPr>
        <w:t xml:space="preserve">Recommendation </w:t>
      </w:r>
      <w:r w:rsidR="00150417" w:rsidRPr="00150417">
        <w:rPr>
          <w:rStyle w:val="Heading4Char"/>
        </w:rPr>
        <w:t>6</w:t>
      </w:r>
      <w:r w:rsidRPr="00150417">
        <w:rPr>
          <w:rStyle w:val="Heading4Char"/>
        </w:rPr>
        <w:t>:</w:t>
      </w:r>
      <w:r>
        <w:rPr>
          <w:b/>
          <w:bCs/>
          <w:color w:val="7030A0"/>
        </w:rPr>
        <w:t xml:space="preserve"> </w:t>
      </w:r>
      <w:r w:rsidR="00030DCC">
        <w:rPr>
          <w:b/>
          <w:bCs/>
        </w:rPr>
        <w:t>Federal and State and Territory Governments</w:t>
      </w:r>
      <w:r w:rsidRPr="00125104">
        <w:rPr>
          <w:b/>
          <w:bCs/>
        </w:rPr>
        <w:t xml:space="preserve"> </w:t>
      </w:r>
      <w:r>
        <w:rPr>
          <w:b/>
          <w:bCs/>
        </w:rPr>
        <w:t xml:space="preserve">should ensure all Foundational Supports are provided with </w:t>
      </w:r>
      <w:r w:rsidR="00D70F3C">
        <w:rPr>
          <w:b/>
          <w:bCs/>
        </w:rPr>
        <w:t>adequate</w:t>
      </w:r>
      <w:r>
        <w:rPr>
          <w:b/>
          <w:bCs/>
        </w:rPr>
        <w:t xml:space="preserve"> </w:t>
      </w:r>
      <w:r w:rsidR="00150417">
        <w:rPr>
          <w:b/>
          <w:bCs/>
        </w:rPr>
        <w:t xml:space="preserve">secure </w:t>
      </w:r>
      <w:r>
        <w:rPr>
          <w:b/>
          <w:bCs/>
        </w:rPr>
        <w:t xml:space="preserve">long-term funding, with </w:t>
      </w:r>
      <w:r w:rsidR="00150417">
        <w:rPr>
          <w:b/>
          <w:bCs/>
        </w:rPr>
        <w:t>supports</w:t>
      </w:r>
      <w:r>
        <w:rPr>
          <w:b/>
          <w:bCs/>
        </w:rPr>
        <w:t xml:space="preserve"> </w:t>
      </w:r>
      <w:r w:rsidRPr="00B47E4E">
        <w:rPr>
          <w:b/>
          <w:bCs/>
        </w:rPr>
        <w:t>commission</w:t>
      </w:r>
      <w:r>
        <w:rPr>
          <w:b/>
          <w:bCs/>
        </w:rPr>
        <w:t>ed</w:t>
      </w:r>
      <w:r w:rsidRPr="00B47E4E">
        <w:rPr>
          <w:b/>
          <w:bCs/>
        </w:rPr>
        <w:t xml:space="preserve"> </w:t>
      </w:r>
      <w:r>
        <w:rPr>
          <w:b/>
          <w:bCs/>
        </w:rPr>
        <w:t>in way</w:t>
      </w:r>
      <w:r w:rsidR="00FB21B8">
        <w:rPr>
          <w:b/>
          <w:bCs/>
        </w:rPr>
        <w:t>s</w:t>
      </w:r>
      <w:r>
        <w:rPr>
          <w:b/>
          <w:bCs/>
        </w:rPr>
        <w:t xml:space="preserve"> </w:t>
      </w:r>
      <w:r w:rsidR="00150417">
        <w:rPr>
          <w:b/>
          <w:bCs/>
        </w:rPr>
        <w:t>that</w:t>
      </w:r>
      <w:r>
        <w:rPr>
          <w:b/>
          <w:bCs/>
        </w:rPr>
        <w:t xml:space="preserve"> </w:t>
      </w:r>
      <w:r w:rsidRPr="00B47E4E">
        <w:rPr>
          <w:b/>
          <w:bCs/>
        </w:rPr>
        <w:t>maximise</w:t>
      </w:r>
      <w:r>
        <w:rPr>
          <w:b/>
          <w:bCs/>
        </w:rPr>
        <w:t>s</w:t>
      </w:r>
      <w:r w:rsidRPr="00B47E4E">
        <w:rPr>
          <w:b/>
          <w:bCs/>
        </w:rPr>
        <w:t xml:space="preserve"> </w:t>
      </w:r>
      <w:r>
        <w:rPr>
          <w:b/>
          <w:bCs/>
        </w:rPr>
        <w:t xml:space="preserve">the </w:t>
      </w:r>
      <w:r w:rsidRPr="00B47E4E">
        <w:rPr>
          <w:b/>
          <w:bCs/>
        </w:rPr>
        <w:t>benefits from the skills of local agencies</w:t>
      </w:r>
      <w:r>
        <w:rPr>
          <w:b/>
          <w:bCs/>
        </w:rPr>
        <w:t xml:space="preserve"> as part of </w:t>
      </w:r>
      <w:r w:rsidR="00FB21B8">
        <w:rPr>
          <w:b/>
          <w:bCs/>
        </w:rPr>
        <w:t xml:space="preserve">a </w:t>
      </w:r>
      <w:r w:rsidRPr="00C83A0E">
        <w:rPr>
          <w:b/>
          <w:bCs/>
        </w:rPr>
        <w:t xml:space="preserve">strategically coherent and public-facing </w:t>
      </w:r>
      <w:r w:rsidR="00FB21B8">
        <w:rPr>
          <w:b/>
          <w:bCs/>
        </w:rPr>
        <w:t>Foundational Supports S</w:t>
      </w:r>
      <w:r w:rsidRPr="00C83A0E">
        <w:rPr>
          <w:b/>
          <w:bCs/>
        </w:rPr>
        <w:t>trategy</w:t>
      </w:r>
      <w:r>
        <w:rPr>
          <w:b/>
          <w:bCs/>
        </w:rPr>
        <w:t>.</w:t>
      </w:r>
    </w:p>
    <w:bookmarkEnd w:id="21"/>
    <w:p w14:paraId="787B59A1" w14:textId="77777777" w:rsidR="007F23C3" w:rsidRDefault="007F23C3" w:rsidP="00BF5365">
      <w:pPr>
        <w:spacing w:after="160"/>
        <w:rPr>
          <w:b/>
          <w:bCs/>
        </w:rPr>
      </w:pPr>
    </w:p>
    <w:p w14:paraId="18A0A810" w14:textId="75044340" w:rsidR="00DF25DC" w:rsidRDefault="00623E10" w:rsidP="00BF5365">
      <w:pPr>
        <w:pStyle w:val="Heading3"/>
        <w:spacing w:after="160" w:line="360" w:lineRule="auto"/>
        <w:ind w:left="1225" w:hanging="505"/>
      </w:pPr>
      <w:bookmarkStart w:id="22" w:name="_Toc184414879"/>
      <w:r w:rsidRPr="00F347C4">
        <w:t>Accountability</w:t>
      </w:r>
      <w:r w:rsidR="00866F1E">
        <w:t xml:space="preserve"> for outcomes</w:t>
      </w:r>
      <w:bookmarkEnd w:id="22"/>
    </w:p>
    <w:p w14:paraId="287EF7A6" w14:textId="06A2F472" w:rsidR="00D43D3C" w:rsidRDefault="00881A48" w:rsidP="00BF5365">
      <w:pPr>
        <w:spacing w:after="160"/>
      </w:pPr>
      <w:r>
        <w:t xml:space="preserve">We </w:t>
      </w:r>
      <w:r w:rsidR="009B73B5">
        <w:t xml:space="preserve">agree with the NDIS Review’s </w:t>
      </w:r>
      <w:r w:rsidR="00A322DD">
        <w:t>Action 23.1</w:t>
      </w:r>
      <w:r w:rsidR="00430CF9">
        <w:t xml:space="preserve"> regarding the need to replace the NDIS Outcomes Framework with a Disability Support Outcomes Framework</w:t>
      </w:r>
      <w:r w:rsidR="00B35A2B">
        <w:t xml:space="preserve">, which </w:t>
      </w:r>
      <w:r w:rsidR="006D3BCA">
        <w:t>should</w:t>
      </w:r>
      <w:r w:rsidR="00B35A2B">
        <w:t xml:space="preserve"> be genuinely co-design</w:t>
      </w:r>
      <w:r w:rsidR="00C30110">
        <w:t>ed</w:t>
      </w:r>
      <w:r w:rsidR="00B35A2B">
        <w:t xml:space="preserve"> with people with disability</w:t>
      </w:r>
      <w:r w:rsidR="00430CF9">
        <w:t>.</w:t>
      </w:r>
      <w:r w:rsidR="00486E7F">
        <w:rPr>
          <w:rStyle w:val="FootnoteReference"/>
        </w:rPr>
        <w:footnoteReference w:id="20"/>
      </w:r>
      <w:r>
        <w:t xml:space="preserve"> </w:t>
      </w:r>
      <w:r w:rsidR="00430CF9">
        <w:t>A</w:t>
      </w:r>
      <w:r w:rsidR="009B7566">
        <w:t xml:space="preserve">ll funded </w:t>
      </w:r>
      <w:r>
        <w:t>Foundational Support</w:t>
      </w:r>
      <w:r w:rsidR="009B7566">
        <w:t>s</w:t>
      </w:r>
      <w:r>
        <w:t xml:space="preserve"> should</w:t>
      </w:r>
      <w:r w:rsidR="009B7566">
        <w:t xml:space="preserve"> be accompanied by</w:t>
      </w:r>
      <w:r>
        <w:t xml:space="preserve"> </w:t>
      </w:r>
      <w:r w:rsidR="001E5E29">
        <w:t>annual targets</w:t>
      </w:r>
      <w:r w:rsidR="000A68A7">
        <w:t xml:space="preserve"> in line with this Framework</w:t>
      </w:r>
      <w:r>
        <w:t xml:space="preserve">. </w:t>
      </w:r>
      <w:r w:rsidR="001E5E29">
        <w:t>Each year,</w:t>
      </w:r>
      <w:r>
        <w:t xml:space="preserve"> a comprehensive independent assessment of progress should be conducted with the results publicly reported. A comprehensive review of </w:t>
      </w:r>
      <w:r w:rsidR="00231421">
        <w:t>the Disability Support Outcomes Framework</w:t>
      </w:r>
      <w:r>
        <w:t xml:space="preserve"> </w:t>
      </w:r>
      <w:r w:rsidR="006D756F">
        <w:t xml:space="preserve">should </w:t>
      </w:r>
      <w:r>
        <w:t xml:space="preserve">be conducted on a </w:t>
      </w:r>
      <w:r w:rsidR="002A0789">
        <w:t>five</w:t>
      </w:r>
      <w:r>
        <w:t>-yearly basis</w:t>
      </w:r>
      <w:r w:rsidR="006D756F">
        <w:t>.</w:t>
      </w:r>
      <w:r>
        <w:t xml:space="preserve"> Such an approach would ensure accountability </w:t>
      </w:r>
      <w:r w:rsidR="009E32E6">
        <w:t xml:space="preserve">and continuity </w:t>
      </w:r>
      <w:r>
        <w:t xml:space="preserve">are core features of the </w:t>
      </w:r>
      <w:r w:rsidR="006D756F">
        <w:t>Foundational Supports</w:t>
      </w:r>
      <w:r w:rsidR="00E72F3D">
        <w:t xml:space="preserve"> Strategy</w:t>
      </w:r>
      <w:r>
        <w:t xml:space="preserve">. </w:t>
      </w:r>
    </w:p>
    <w:p w14:paraId="03D0F4C5" w14:textId="0EA3EC5D" w:rsidR="002665F1" w:rsidRDefault="002665F1" w:rsidP="00E3435A">
      <w:pPr>
        <w:spacing w:after="160"/>
        <w:rPr>
          <w:lang w:val="en-GB"/>
        </w:rPr>
      </w:pPr>
      <w:r>
        <w:rPr>
          <w:lang w:val="en-GB"/>
        </w:rPr>
        <w:t xml:space="preserve">Foundational Support providers, be they public, private, or not-for-profit, must be genuinely accountable for the quality of the supports they provide. Initiatives to ensure follow up and continuous improvement across the sector will be essential elements of effective regulation. We urge governments to provide adequate resources to oversight bodies to ensure that Foundational Supports are meaningful in practice and, where necessary, appropriate enforcement to prevent malpractice is assured. </w:t>
      </w:r>
    </w:p>
    <w:p w14:paraId="3C4439E8" w14:textId="7A7E0946" w:rsidR="00D67DC2" w:rsidRDefault="00D67DC2" w:rsidP="00D67DC2">
      <w:pPr>
        <w:spacing w:after="160"/>
      </w:pPr>
      <w:r>
        <w:t>Concerningly, Australia still does not collect adequate data about the experiences and life outcomes for people with disability</w:t>
      </w:r>
      <w:r w:rsidR="00AA6638">
        <w:t xml:space="preserve"> and this reduces accountability for achieving change</w:t>
      </w:r>
      <w:r>
        <w:t>. Obtaining data on Foundational Support</w:t>
      </w:r>
      <w:r w:rsidR="0031267B">
        <w:t>s</w:t>
      </w:r>
      <w:r>
        <w:t xml:space="preserve"> outcomes can contribute in a small way to addressing this problem. Additionally, the Foundational Supports Strategy should include an </w:t>
      </w:r>
      <w:r>
        <w:lastRenderedPageBreak/>
        <w:t>action to invest in improved data collection as this will ensure Foundational Supports can be designed to address identified areas of need.</w:t>
      </w:r>
    </w:p>
    <w:p w14:paraId="61C7D65A" w14:textId="09509DAF" w:rsidR="00760D48" w:rsidRDefault="00DB64ED" w:rsidP="00817CB2">
      <w:pPr>
        <w:spacing w:after="160"/>
        <w:rPr>
          <w:b/>
          <w:bCs/>
        </w:rPr>
      </w:pPr>
      <w:r w:rsidRPr="007D6087">
        <w:rPr>
          <w:rStyle w:val="Heading4Char"/>
        </w:rPr>
        <w:t xml:space="preserve">Recommendation </w:t>
      </w:r>
      <w:r w:rsidR="007D6087" w:rsidRPr="007D6087">
        <w:rPr>
          <w:rStyle w:val="Heading4Char"/>
        </w:rPr>
        <w:t>7</w:t>
      </w:r>
      <w:r w:rsidRPr="007D6087">
        <w:rPr>
          <w:rStyle w:val="Heading4Char"/>
        </w:rPr>
        <w:t>:</w:t>
      </w:r>
      <w:r>
        <w:rPr>
          <w:b/>
          <w:bCs/>
          <w:color w:val="7030A0"/>
        </w:rPr>
        <w:t xml:space="preserve"> </w:t>
      </w:r>
      <w:r w:rsidRPr="00125104">
        <w:rPr>
          <w:b/>
          <w:bCs/>
        </w:rPr>
        <w:t xml:space="preserve">The Department of Social Services (DSS) </w:t>
      </w:r>
      <w:r>
        <w:rPr>
          <w:b/>
          <w:bCs/>
        </w:rPr>
        <w:t xml:space="preserve">should </w:t>
      </w:r>
      <w:r w:rsidR="00C30110" w:rsidRPr="00C30110">
        <w:rPr>
          <w:b/>
          <w:bCs/>
        </w:rPr>
        <w:t xml:space="preserve">replace the NDIS Outcomes Framework with a Disability Support Outcomes Framework, which </w:t>
      </w:r>
      <w:r w:rsidR="00C30110">
        <w:rPr>
          <w:b/>
          <w:bCs/>
        </w:rPr>
        <w:t>should</w:t>
      </w:r>
      <w:r w:rsidR="00C30110" w:rsidRPr="00C30110">
        <w:rPr>
          <w:b/>
          <w:bCs/>
        </w:rPr>
        <w:t xml:space="preserve"> be genuinely co-design</w:t>
      </w:r>
      <w:r w:rsidR="00C30110">
        <w:rPr>
          <w:b/>
          <w:bCs/>
        </w:rPr>
        <w:t>ed</w:t>
      </w:r>
      <w:r w:rsidR="00C30110" w:rsidRPr="00C30110">
        <w:rPr>
          <w:b/>
          <w:bCs/>
        </w:rPr>
        <w:t xml:space="preserve"> with people with disability</w:t>
      </w:r>
      <w:r w:rsidR="002372DA">
        <w:rPr>
          <w:b/>
          <w:bCs/>
        </w:rPr>
        <w:t xml:space="preserve"> and other stakeholders</w:t>
      </w:r>
      <w:r w:rsidR="00C30110" w:rsidRPr="00C30110">
        <w:rPr>
          <w:b/>
          <w:bCs/>
        </w:rPr>
        <w:t xml:space="preserve">. All funded Foundational Supports should </w:t>
      </w:r>
      <w:r w:rsidR="00731DE6">
        <w:rPr>
          <w:b/>
          <w:bCs/>
        </w:rPr>
        <w:t xml:space="preserve">align with the Framework and </w:t>
      </w:r>
      <w:r w:rsidR="00C30110" w:rsidRPr="00C30110">
        <w:rPr>
          <w:b/>
          <w:bCs/>
        </w:rPr>
        <w:t>be accompanied by annual targets. Each year, a comprehensive independent assessment of progress should be conducted with the results publicly reported. A</w:t>
      </w:r>
      <w:r w:rsidR="00D056A9">
        <w:rPr>
          <w:b/>
          <w:bCs/>
        </w:rPr>
        <w:t>dditionally, a</w:t>
      </w:r>
      <w:r w:rsidR="00C30110" w:rsidRPr="00C30110">
        <w:rPr>
          <w:b/>
          <w:bCs/>
        </w:rPr>
        <w:t xml:space="preserve"> comprehensive review of the Disability Support Outcomes Framework should be conducted on a </w:t>
      </w:r>
      <w:r w:rsidR="002A0789">
        <w:rPr>
          <w:b/>
          <w:bCs/>
        </w:rPr>
        <w:t>five</w:t>
      </w:r>
      <w:r w:rsidR="00C30110" w:rsidRPr="00C30110">
        <w:rPr>
          <w:b/>
          <w:bCs/>
        </w:rPr>
        <w:t>-yearly basis</w:t>
      </w:r>
      <w:r w:rsidR="00C30110">
        <w:rPr>
          <w:b/>
          <w:bCs/>
        </w:rPr>
        <w:t>.</w:t>
      </w:r>
    </w:p>
    <w:p w14:paraId="724BECB5" w14:textId="77777777" w:rsidR="007F23C3" w:rsidRDefault="007F23C3" w:rsidP="00353562">
      <w:pPr>
        <w:spacing w:after="160"/>
        <w:jc w:val="both"/>
        <w:rPr>
          <w:b/>
        </w:rPr>
      </w:pPr>
    </w:p>
    <w:p w14:paraId="453312E2" w14:textId="1EE0EE66" w:rsidR="00D007CB" w:rsidRDefault="00D007CB" w:rsidP="00B95BDD">
      <w:pPr>
        <w:pStyle w:val="Heading3"/>
        <w:numPr>
          <w:ilvl w:val="2"/>
          <w:numId w:val="12"/>
        </w:numPr>
        <w:spacing w:after="160" w:line="360" w:lineRule="auto"/>
        <w:ind w:left="1225" w:hanging="505"/>
      </w:pPr>
      <w:bookmarkStart w:id="23" w:name="_Toc184414880"/>
      <w:r>
        <w:t>Additional principles</w:t>
      </w:r>
      <w:bookmarkEnd w:id="23"/>
      <w:r>
        <w:t xml:space="preserve">  </w:t>
      </w:r>
    </w:p>
    <w:p w14:paraId="536844A3" w14:textId="1B6CB0BF" w:rsidR="00D007CB" w:rsidRPr="00E022EA" w:rsidRDefault="00D007CB" w:rsidP="00353562">
      <w:pPr>
        <w:spacing w:after="160"/>
      </w:pPr>
      <w:r w:rsidRPr="00E022EA">
        <w:t xml:space="preserve">Beneath the umbrella of Foundational Supports, there will be </w:t>
      </w:r>
      <w:r w:rsidR="0005717A">
        <w:t>a vast array of</w:t>
      </w:r>
      <w:r w:rsidRPr="00E022EA">
        <w:t xml:space="preserve"> programs and supports funded across the nation. It is essential for </w:t>
      </w:r>
      <w:proofErr w:type="gramStart"/>
      <w:r w:rsidRPr="00E022EA">
        <w:t>all of</w:t>
      </w:r>
      <w:proofErr w:type="gramEnd"/>
      <w:r w:rsidRPr="00E022EA">
        <w:t xml:space="preserve"> these </w:t>
      </w:r>
      <w:r w:rsidR="0005717A">
        <w:t>elements</w:t>
      </w:r>
      <w:r w:rsidRPr="00E022EA">
        <w:t xml:space="preserve"> to be moving towards the same goals, and to be </w:t>
      </w:r>
      <w:r w:rsidR="008D31A4">
        <w:t>underpinned</w:t>
      </w:r>
      <w:r w:rsidRPr="00E022EA">
        <w:t xml:space="preserve"> by the same </w:t>
      </w:r>
      <w:r w:rsidR="008D31A4">
        <w:t xml:space="preserve">principles and </w:t>
      </w:r>
      <w:r w:rsidRPr="00E022EA">
        <w:t xml:space="preserve">values. We suggest the following </w:t>
      </w:r>
      <w:r w:rsidR="008D31A4">
        <w:t xml:space="preserve">should be embedded in the Foundational Supports Strategy and all </w:t>
      </w:r>
      <w:r w:rsidR="00884AC2">
        <w:t>Foundational Supports:</w:t>
      </w:r>
      <w:r w:rsidRPr="00E022EA">
        <w:t xml:space="preserve"> </w:t>
      </w:r>
    </w:p>
    <w:p w14:paraId="35152429" w14:textId="0C005286" w:rsidR="00D007CB" w:rsidRDefault="00D007CB" w:rsidP="00817CB2">
      <w:pPr>
        <w:spacing w:after="160"/>
        <w:rPr>
          <w:lang w:val="en-GB"/>
        </w:rPr>
      </w:pPr>
      <w:r w:rsidRPr="408DE9AD">
        <w:rPr>
          <w:b/>
          <w:bCs/>
          <w:lang w:val="en-GB"/>
        </w:rPr>
        <w:t>Purposeful:</w:t>
      </w:r>
      <w:r w:rsidRPr="408DE9AD">
        <w:rPr>
          <w:lang w:val="en-GB"/>
        </w:rPr>
        <w:t xml:space="preserve"> We urge </w:t>
      </w:r>
      <w:r w:rsidR="00884AC2">
        <w:rPr>
          <w:lang w:val="en-GB"/>
        </w:rPr>
        <w:t>governments</w:t>
      </w:r>
      <w:r w:rsidRPr="408DE9AD">
        <w:rPr>
          <w:lang w:val="en-GB"/>
        </w:rPr>
        <w:t xml:space="preserve"> to give significant attention during the </w:t>
      </w:r>
      <w:r>
        <w:rPr>
          <w:lang w:val="en-GB"/>
        </w:rPr>
        <w:t>Foundational Supports design</w:t>
      </w:r>
      <w:r w:rsidRPr="408DE9AD">
        <w:rPr>
          <w:lang w:val="en-GB"/>
        </w:rPr>
        <w:t xml:space="preserve"> process to ensuring that </w:t>
      </w:r>
      <w:r>
        <w:rPr>
          <w:lang w:val="en-GB"/>
        </w:rPr>
        <w:t xml:space="preserve">changes to existing supports or </w:t>
      </w:r>
      <w:r w:rsidR="002F7914">
        <w:rPr>
          <w:lang w:val="en-GB"/>
        </w:rPr>
        <w:t xml:space="preserve">the design of </w:t>
      </w:r>
      <w:r>
        <w:rPr>
          <w:lang w:val="en-GB"/>
        </w:rPr>
        <w:t xml:space="preserve">new support programs </w:t>
      </w:r>
      <w:proofErr w:type="gramStart"/>
      <w:r w:rsidRPr="408DE9AD">
        <w:rPr>
          <w:lang w:val="en-GB"/>
        </w:rPr>
        <w:t>actually fulfil</w:t>
      </w:r>
      <w:proofErr w:type="gramEnd"/>
      <w:r w:rsidRPr="408DE9AD">
        <w:rPr>
          <w:lang w:val="en-GB"/>
        </w:rPr>
        <w:t xml:space="preserve"> their stated purpose. Too often we hear from the disability community about </w:t>
      </w:r>
      <w:r>
        <w:rPr>
          <w:lang w:val="en-GB"/>
        </w:rPr>
        <w:t>service providers going through the motions, meeting</w:t>
      </w:r>
      <w:r w:rsidRPr="408DE9AD">
        <w:rPr>
          <w:lang w:val="en-GB"/>
        </w:rPr>
        <w:t xml:space="preserve"> requirements </w:t>
      </w:r>
      <w:r>
        <w:rPr>
          <w:lang w:val="en-GB"/>
        </w:rPr>
        <w:t xml:space="preserve">in a way </w:t>
      </w:r>
      <w:r w:rsidR="002B0ED7">
        <w:rPr>
          <w:lang w:val="en-GB"/>
        </w:rPr>
        <w:t>that</w:t>
      </w:r>
      <w:r w:rsidRPr="408DE9AD">
        <w:rPr>
          <w:lang w:val="en-GB"/>
        </w:rPr>
        <w:t xml:space="preserve"> amount</w:t>
      </w:r>
      <w:r>
        <w:rPr>
          <w:lang w:val="en-GB"/>
        </w:rPr>
        <w:t>s</w:t>
      </w:r>
      <w:r w:rsidRPr="408DE9AD">
        <w:rPr>
          <w:lang w:val="en-GB"/>
        </w:rPr>
        <w:t xml:space="preserve"> to little more than ‘tick-and-flick' or record filing processes without any follow up or reflection to improve outcomes. </w:t>
      </w:r>
    </w:p>
    <w:p w14:paraId="683864BC" w14:textId="2A7E970B" w:rsidR="00D007CB" w:rsidRDefault="00D007CB" w:rsidP="00817CB2">
      <w:pPr>
        <w:spacing w:after="160"/>
        <w:rPr>
          <w:lang w:val="en-GB"/>
        </w:rPr>
      </w:pPr>
      <w:r w:rsidRPr="006B64EE">
        <w:rPr>
          <w:b/>
          <w:bCs/>
          <w:lang w:val="en-GB"/>
        </w:rPr>
        <w:t>Holistic:</w:t>
      </w:r>
      <w:r>
        <w:rPr>
          <w:lang w:val="en-GB"/>
        </w:rPr>
        <w:t xml:space="preserve"> We are very concerned about the potential for gaps to arise during the transition to Foundational Supports that result in people </w:t>
      </w:r>
      <w:r w:rsidR="002B0ED7">
        <w:rPr>
          <w:lang w:val="en-GB"/>
        </w:rPr>
        <w:t>experi</w:t>
      </w:r>
      <w:r w:rsidR="00281D25">
        <w:rPr>
          <w:lang w:val="en-GB"/>
        </w:rPr>
        <w:t>e</w:t>
      </w:r>
      <w:r w:rsidR="002B0ED7">
        <w:rPr>
          <w:lang w:val="en-GB"/>
        </w:rPr>
        <w:t>ncing</w:t>
      </w:r>
      <w:r>
        <w:rPr>
          <w:lang w:val="en-GB"/>
        </w:rPr>
        <w:t xml:space="preserve"> increased vulnerability </w:t>
      </w:r>
      <w:r w:rsidR="00281D25">
        <w:rPr>
          <w:lang w:val="en-GB"/>
        </w:rPr>
        <w:t xml:space="preserve">or </w:t>
      </w:r>
      <w:r>
        <w:rPr>
          <w:lang w:val="en-GB"/>
        </w:rPr>
        <w:t xml:space="preserve">falling through the cracks resulting in harm or even death. We strongly recommend </w:t>
      </w:r>
      <w:r w:rsidR="00281D25">
        <w:rPr>
          <w:lang w:val="en-GB"/>
        </w:rPr>
        <w:t>governments</w:t>
      </w:r>
      <w:r>
        <w:rPr>
          <w:lang w:val="en-GB"/>
        </w:rPr>
        <w:t xml:space="preserve"> undertake a thorough process to identify who is currently receiving supports, when these supports will be phased out, and when Foundational Supports will commence, to ensure a seamless continuation of support provision.</w:t>
      </w:r>
    </w:p>
    <w:p w14:paraId="5BDD637F" w14:textId="749E1952" w:rsidR="00924B08" w:rsidRDefault="001B7E45" w:rsidP="00924B08">
      <w:pPr>
        <w:spacing w:after="160"/>
        <w:rPr>
          <w:color w:val="000000" w:themeColor="text1"/>
        </w:rPr>
      </w:pPr>
      <w:r>
        <w:lastRenderedPageBreak/>
        <w:t xml:space="preserve">There must also be a whole-of-government approach. </w:t>
      </w:r>
      <w:r w:rsidR="00924B08" w:rsidRPr="00814751">
        <w:t xml:space="preserve">Australia must end outdated practices that discriminate, segregate, and exclude people with disability from our communities and all </w:t>
      </w:r>
      <w:r w:rsidR="00702667">
        <w:t>parts</w:t>
      </w:r>
      <w:r w:rsidR="00924B08" w:rsidRPr="00814751">
        <w:t xml:space="preserve"> of government need to show leadership toward achieving this outcome. Disability access and inclusion is everyone’s responsibility</w:t>
      </w:r>
      <w:r w:rsidR="00924B08">
        <w:t xml:space="preserve">. In the realm of disability, there is rarely a shortage of statements of good intent, broad </w:t>
      </w:r>
      <w:r w:rsidR="00702667">
        <w:t>‘</w:t>
      </w:r>
      <w:r w:rsidR="00924B08">
        <w:t>motherhood</w:t>
      </w:r>
      <w:r w:rsidR="00702667">
        <w:t>’</w:t>
      </w:r>
      <w:r w:rsidR="00924B08">
        <w:t xml:space="preserve"> statements</w:t>
      </w:r>
      <w:r w:rsidR="00702667">
        <w:t>,</w:t>
      </w:r>
      <w:r w:rsidR="00924B08">
        <w:t xml:space="preserve"> or lofty yet vague ambitions. </w:t>
      </w:r>
      <w:r w:rsidR="008E37FE">
        <w:t>However, t</w:t>
      </w:r>
      <w:r w:rsidR="00924B08">
        <w:rPr>
          <w:color w:val="000000" w:themeColor="text1"/>
        </w:rPr>
        <w:t xml:space="preserve">here must be significant </w:t>
      </w:r>
      <w:r w:rsidR="00E41C54">
        <w:rPr>
          <w:color w:val="000000" w:themeColor="text1"/>
        </w:rPr>
        <w:t>investment</w:t>
      </w:r>
      <w:r w:rsidR="00924B08">
        <w:rPr>
          <w:color w:val="000000" w:themeColor="text1"/>
        </w:rPr>
        <w:t>, tangible and quantifiable actions and targets, and transparent reporting and accountability mechanisms,</w:t>
      </w:r>
      <w:r w:rsidR="009457E2">
        <w:rPr>
          <w:color w:val="000000" w:themeColor="text1"/>
        </w:rPr>
        <w:t xml:space="preserve"> across all aspects of all governments</w:t>
      </w:r>
      <w:r w:rsidR="00673791">
        <w:rPr>
          <w:color w:val="000000" w:themeColor="text1"/>
        </w:rPr>
        <w:t xml:space="preserve"> involved in Foundational Supports</w:t>
      </w:r>
      <w:r w:rsidR="00924B08">
        <w:rPr>
          <w:color w:val="000000" w:themeColor="text1"/>
        </w:rPr>
        <w:t>.</w:t>
      </w:r>
    </w:p>
    <w:p w14:paraId="23B54E58" w14:textId="2A424783" w:rsidR="00D007CB" w:rsidRDefault="00D007CB" w:rsidP="00817CB2">
      <w:pPr>
        <w:spacing w:after="160"/>
        <w:rPr>
          <w:lang w:val="en-GB"/>
        </w:rPr>
      </w:pPr>
      <w:r w:rsidRPr="0036197C">
        <w:rPr>
          <w:b/>
          <w:bCs/>
          <w:lang w:val="en-GB"/>
        </w:rPr>
        <w:t>Consistent:</w:t>
      </w:r>
      <w:r>
        <w:rPr>
          <w:lang w:val="en-GB"/>
        </w:rPr>
        <w:t xml:space="preserve"> We agree that nationally consistent Foundational Supports can provide many benefits. Consistent supports would greatly enhance the ease with which people with disability can be referred to appropriate supports, as well as making it easier to educate</w:t>
      </w:r>
      <w:r w:rsidR="001B1526">
        <w:rPr>
          <w:lang w:val="en-GB"/>
        </w:rPr>
        <w:t xml:space="preserve"> and</w:t>
      </w:r>
      <w:r>
        <w:rPr>
          <w:lang w:val="en-GB"/>
        </w:rPr>
        <w:t xml:space="preserve"> train</w:t>
      </w:r>
      <w:r w:rsidR="001B1526">
        <w:rPr>
          <w:lang w:val="en-GB"/>
        </w:rPr>
        <w:t xml:space="preserve"> workers</w:t>
      </w:r>
      <w:r>
        <w:rPr>
          <w:lang w:val="en-GB"/>
        </w:rPr>
        <w:t>, and generate awareness about available supports. We are aware that vocational training providers and universities are hampered in their capacity to provide students with the necessary knowledge due to the myriad arrangements they need to cover in limited timeframes.</w:t>
      </w:r>
      <w:r w:rsidR="003B2750">
        <w:rPr>
          <w:lang w:val="en-GB"/>
        </w:rPr>
        <w:t xml:space="preserve"> Consistent best practice approaches would help mitigate this. </w:t>
      </w:r>
    </w:p>
    <w:p w14:paraId="2353077F" w14:textId="6DF3540C" w:rsidR="00D007CB" w:rsidRPr="00C8212E" w:rsidRDefault="00D007CB" w:rsidP="00817CB2">
      <w:pPr>
        <w:spacing w:after="160"/>
        <w:rPr>
          <w:lang w:val="en-GB"/>
        </w:rPr>
      </w:pPr>
      <w:r w:rsidRPr="001B1467">
        <w:rPr>
          <w:b/>
          <w:bCs/>
          <w:lang w:val="en-GB"/>
        </w:rPr>
        <w:t>Transparent:</w:t>
      </w:r>
      <w:r>
        <w:rPr>
          <w:lang w:val="en-GB"/>
        </w:rPr>
        <w:t xml:space="preserve"> We believe the </w:t>
      </w:r>
      <w:r w:rsidR="006A7787">
        <w:rPr>
          <w:lang w:val="en-GB"/>
        </w:rPr>
        <w:t xml:space="preserve">overarching Foundational Supports Strategy and the approach to </w:t>
      </w:r>
      <w:r>
        <w:rPr>
          <w:lang w:val="en-GB"/>
        </w:rPr>
        <w:t>outcomes</w:t>
      </w:r>
      <w:r w:rsidR="006A7787">
        <w:rPr>
          <w:lang w:val="en-GB"/>
        </w:rPr>
        <w:t xml:space="preserve"> measurement</w:t>
      </w:r>
      <w:r>
        <w:rPr>
          <w:lang w:val="en-GB"/>
        </w:rPr>
        <w:t xml:space="preserve"> should be fully transparent</w:t>
      </w:r>
      <w:r w:rsidR="006A7787">
        <w:rPr>
          <w:lang w:val="en-GB"/>
        </w:rPr>
        <w:t>.</w:t>
      </w:r>
      <w:r>
        <w:rPr>
          <w:lang w:val="en-GB"/>
        </w:rPr>
        <w:t xml:space="preserve"> </w:t>
      </w:r>
      <w:r w:rsidR="006A7787">
        <w:rPr>
          <w:lang w:val="en-GB"/>
        </w:rPr>
        <w:t>We</w:t>
      </w:r>
      <w:r>
        <w:rPr>
          <w:lang w:val="en-GB"/>
        </w:rPr>
        <w:t xml:space="preserve"> urge </w:t>
      </w:r>
      <w:r w:rsidR="005317E2">
        <w:rPr>
          <w:lang w:val="en-GB"/>
        </w:rPr>
        <w:t>governments</w:t>
      </w:r>
      <w:r>
        <w:rPr>
          <w:lang w:val="en-GB"/>
        </w:rPr>
        <w:t xml:space="preserve"> to consider how these are measured and reported in line with their purpose, as well as goals to achieve improvements over time. </w:t>
      </w:r>
      <w:r w:rsidR="005317E2">
        <w:rPr>
          <w:lang w:val="en-GB"/>
        </w:rPr>
        <w:t>Importantly, this principle is not just about a high-level document about Foundational Supports</w:t>
      </w:r>
      <w:r w:rsidR="00F65947">
        <w:rPr>
          <w:lang w:val="en-GB"/>
        </w:rPr>
        <w:t xml:space="preserve"> such as a national strategy,</w:t>
      </w:r>
      <w:r w:rsidR="005317E2">
        <w:rPr>
          <w:lang w:val="en-GB"/>
        </w:rPr>
        <w:t xml:space="preserve"> but </w:t>
      </w:r>
      <w:r w:rsidR="0052590A">
        <w:rPr>
          <w:lang w:val="en-GB"/>
        </w:rPr>
        <w:t xml:space="preserve">the comprehensive detail </w:t>
      </w:r>
      <w:r w:rsidR="00D24B55">
        <w:rPr>
          <w:lang w:val="en-GB"/>
        </w:rPr>
        <w:t xml:space="preserve">of what Foundational Supports will be available, how they are commissioned, who can access them, and similar. </w:t>
      </w:r>
      <w:r w:rsidR="009E7BE2">
        <w:rPr>
          <w:lang w:val="en-GB"/>
        </w:rPr>
        <w:t xml:space="preserve">The lack of transparency recently about what ILC grants would be available </w:t>
      </w:r>
      <w:r w:rsidR="003F3B10">
        <w:rPr>
          <w:lang w:val="en-GB"/>
        </w:rPr>
        <w:t xml:space="preserve">when </w:t>
      </w:r>
      <w:r w:rsidR="009E7BE2">
        <w:rPr>
          <w:lang w:val="en-GB"/>
        </w:rPr>
        <w:t>has under</w:t>
      </w:r>
      <w:r w:rsidR="00C8212E">
        <w:rPr>
          <w:lang w:val="en-GB"/>
        </w:rPr>
        <w:t>mined</w:t>
      </w:r>
      <w:r w:rsidR="009E7BE2">
        <w:rPr>
          <w:lang w:val="en-GB"/>
        </w:rPr>
        <w:t xml:space="preserve"> </w:t>
      </w:r>
      <w:r w:rsidR="00C8212E">
        <w:rPr>
          <w:lang w:val="en-GB"/>
        </w:rPr>
        <w:t xml:space="preserve">confidence in that program and this </w:t>
      </w:r>
      <w:r w:rsidR="003F3B10">
        <w:rPr>
          <w:lang w:val="en-GB"/>
        </w:rPr>
        <w:t xml:space="preserve">should </w:t>
      </w:r>
      <w:r w:rsidR="00C8212E">
        <w:rPr>
          <w:lang w:val="en-GB"/>
        </w:rPr>
        <w:t xml:space="preserve">not be repeated. </w:t>
      </w:r>
    </w:p>
    <w:p w14:paraId="435362A3" w14:textId="3F82795A" w:rsidR="00D007CB" w:rsidRPr="007C3879" w:rsidRDefault="00D007CB" w:rsidP="00817CB2">
      <w:pPr>
        <w:spacing w:after="160"/>
        <w:rPr>
          <w:b/>
          <w:bCs/>
          <w:lang w:val="en-GB"/>
        </w:rPr>
      </w:pPr>
      <w:r w:rsidRPr="00974A1E">
        <w:rPr>
          <w:b/>
          <w:bCs/>
          <w:lang w:val="en-GB"/>
        </w:rPr>
        <w:t>Simple</w:t>
      </w:r>
      <w:r w:rsidR="0030674E">
        <w:rPr>
          <w:b/>
          <w:bCs/>
          <w:lang w:val="en-GB"/>
        </w:rPr>
        <w:t xml:space="preserve"> to navigate</w:t>
      </w:r>
      <w:r w:rsidRPr="00974A1E">
        <w:rPr>
          <w:b/>
          <w:bCs/>
          <w:lang w:val="en-GB"/>
        </w:rPr>
        <w:t xml:space="preserve">: </w:t>
      </w:r>
      <w:r>
        <w:rPr>
          <w:lang w:val="en-GB"/>
        </w:rPr>
        <w:t xml:space="preserve">This process offers an opportunity to remove unnecessary complexity when people with disability or their supporters seek support. We are often told how complex it is for people with disability or their supporters to navigate the web of potential supports available to them and then to jump though the bureaucratic hoops required to </w:t>
      </w:r>
      <w:r w:rsidR="007B55F5">
        <w:rPr>
          <w:lang w:val="en-GB"/>
        </w:rPr>
        <w:t xml:space="preserve">demonstrate they </w:t>
      </w:r>
      <w:r>
        <w:rPr>
          <w:lang w:val="en-GB"/>
        </w:rPr>
        <w:t xml:space="preserve">qualify. Additionally, complexity provides a convenient excuse for sloppy or otherwise inadequate implementation. We recommend the Foundational Supports </w:t>
      </w:r>
      <w:r>
        <w:rPr>
          <w:lang w:val="en-GB"/>
        </w:rPr>
        <w:lastRenderedPageBreak/>
        <w:t xml:space="preserve">design process includes a final quality assurance step that ensures the design of Foundational Supports is as simple as possible to navigate. </w:t>
      </w:r>
    </w:p>
    <w:p w14:paraId="16DC7094" w14:textId="2D732DEA" w:rsidR="00D007CB" w:rsidRDefault="00D007CB" w:rsidP="00817CB2">
      <w:pPr>
        <w:spacing w:after="160"/>
        <w:rPr>
          <w:lang w:val="en-GB"/>
        </w:rPr>
      </w:pPr>
      <w:r w:rsidRPr="408DE9AD">
        <w:rPr>
          <w:b/>
          <w:bCs/>
          <w:lang w:val="en-GB"/>
        </w:rPr>
        <w:t>Accessible:</w:t>
      </w:r>
      <w:r w:rsidRPr="408DE9AD">
        <w:rPr>
          <w:lang w:val="en-GB"/>
        </w:rPr>
        <w:t xml:space="preserve"> People </w:t>
      </w:r>
      <w:r w:rsidR="00D00FFD">
        <w:rPr>
          <w:lang w:val="en-GB"/>
        </w:rPr>
        <w:t>with disability encounter</w:t>
      </w:r>
      <w:r w:rsidRPr="408DE9AD">
        <w:rPr>
          <w:lang w:val="en-GB"/>
        </w:rPr>
        <w:t xml:space="preserve"> many barriers in dealing with </w:t>
      </w:r>
      <w:r>
        <w:rPr>
          <w:lang w:val="en-GB"/>
        </w:rPr>
        <w:t>service providers</w:t>
      </w:r>
      <w:r w:rsidRPr="408DE9AD">
        <w:rPr>
          <w:lang w:val="en-GB"/>
        </w:rPr>
        <w:t xml:space="preserve">. Information, resources, and points of contact must be fully accessible, including by providing a range of options to meet diverse needs. One way to achieve this would be through establishing a </w:t>
      </w:r>
      <w:r w:rsidR="007B75B6">
        <w:rPr>
          <w:lang w:val="en-GB"/>
        </w:rPr>
        <w:t xml:space="preserve">specific </w:t>
      </w:r>
      <w:r w:rsidRPr="408DE9AD">
        <w:rPr>
          <w:lang w:val="en-GB"/>
        </w:rPr>
        <w:t>co-design group</w:t>
      </w:r>
      <w:r>
        <w:rPr>
          <w:lang w:val="en-GB"/>
        </w:rPr>
        <w:t xml:space="preserve"> to create and audit resources, as well as testing and evaluating the experience of interacting with Foundational Support</w:t>
      </w:r>
      <w:r w:rsidR="000D3A27">
        <w:rPr>
          <w:lang w:val="en-GB"/>
        </w:rPr>
        <w:t>s</w:t>
      </w:r>
      <w:r>
        <w:rPr>
          <w:lang w:val="en-GB"/>
        </w:rPr>
        <w:t xml:space="preserve"> providers.</w:t>
      </w:r>
    </w:p>
    <w:p w14:paraId="68B1C940" w14:textId="282ECE73" w:rsidR="00D007CB" w:rsidRPr="00F845A9" w:rsidRDefault="00D007CB" w:rsidP="00817CB2">
      <w:pPr>
        <w:spacing w:after="160"/>
        <w:rPr>
          <w:lang w:val="en-GB"/>
        </w:rPr>
      </w:pPr>
      <w:r>
        <w:rPr>
          <w:b/>
          <w:bCs/>
          <w:lang w:val="en-GB"/>
        </w:rPr>
        <w:t xml:space="preserve">Coherent: </w:t>
      </w:r>
      <w:r>
        <w:rPr>
          <w:lang w:val="en-GB"/>
        </w:rPr>
        <w:t xml:space="preserve">When </w:t>
      </w:r>
      <w:r w:rsidR="00B805B9">
        <w:rPr>
          <w:lang w:val="en-GB"/>
        </w:rPr>
        <w:t>establishing Foundational Supports</w:t>
      </w:r>
      <w:r w:rsidR="000D3A27">
        <w:rPr>
          <w:lang w:val="en-GB"/>
        </w:rPr>
        <w:t>,</w:t>
      </w:r>
      <w:r w:rsidR="00B805B9">
        <w:rPr>
          <w:lang w:val="en-GB"/>
        </w:rPr>
        <w:t xml:space="preserve"> </w:t>
      </w:r>
      <w:r w:rsidR="00E4089D">
        <w:rPr>
          <w:lang w:val="en-GB"/>
        </w:rPr>
        <w:t xml:space="preserve">governments should </w:t>
      </w:r>
      <w:r>
        <w:rPr>
          <w:lang w:val="en-GB"/>
        </w:rPr>
        <w:t>consider wh</w:t>
      </w:r>
      <w:r w:rsidR="00E4089D">
        <w:rPr>
          <w:lang w:val="en-GB"/>
        </w:rPr>
        <w:t>at</w:t>
      </w:r>
      <w:r>
        <w:rPr>
          <w:lang w:val="en-GB"/>
        </w:rPr>
        <w:t xml:space="preserve"> other programs are being funded in each geographical area</w:t>
      </w:r>
      <w:r w:rsidR="00E4089D">
        <w:rPr>
          <w:lang w:val="en-GB"/>
        </w:rPr>
        <w:t xml:space="preserve"> or for a specific group</w:t>
      </w:r>
      <w:r>
        <w:rPr>
          <w:lang w:val="en-GB"/>
        </w:rPr>
        <w:t xml:space="preserve">. We have encountered situations in the past whereby more than one organisation has been funded to deliver a similar program in the same area, which is not an effective use of funds and can pose implementation difficulties for these organisations. </w:t>
      </w:r>
    </w:p>
    <w:p w14:paraId="0782878D" w14:textId="0EDD9DF4" w:rsidR="00D007CB" w:rsidRDefault="00D007CB" w:rsidP="00817CB2">
      <w:pPr>
        <w:spacing w:after="160"/>
        <w:rPr>
          <w:b/>
          <w:bCs/>
        </w:rPr>
      </w:pPr>
      <w:bookmarkStart w:id="24" w:name="_Hlk184408904"/>
      <w:r w:rsidRPr="00CD5450">
        <w:rPr>
          <w:rStyle w:val="Heading4Char"/>
        </w:rPr>
        <w:t xml:space="preserve">Recommendation </w:t>
      </w:r>
      <w:r w:rsidR="00CD5450" w:rsidRPr="00CD5450">
        <w:rPr>
          <w:rStyle w:val="Heading4Char"/>
        </w:rPr>
        <w:t>8</w:t>
      </w:r>
      <w:r w:rsidRPr="00CD5450">
        <w:rPr>
          <w:rStyle w:val="Heading4Char"/>
        </w:rPr>
        <w:t>:</w:t>
      </w:r>
      <w:r>
        <w:rPr>
          <w:b/>
          <w:bCs/>
          <w:color w:val="7030A0"/>
        </w:rPr>
        <w:t xml:space="preserve"> </w:t>
      </w:r>
      <w:r w:rsidRPr="00125104">
        <w:rPr>
          <w:b/>
          <w:bCs/>
        </w:rPr>
        <w:t xml:space="preserve">The </w:t>
      </w:r>
      <w:r w:rsidR="00CD5450">
        <w:rPr>
          <w:b/>
          <w:bCs/>
        </w:rPr>
        <w:t xml:space="preserve">Australian Government should embed </w:t>
      </w:r>
      <w:r w:rsidR="006519A3">
        <w:rPr>
          <w:b/>
          <w:bCs/>
        </w:rPr>
        <w:t xml:space="preserve">guiding principles and values </w:t>
      </w:r>
      <w:r>
        <w:rPr>
          <w:b/>
          <w:bCs/>
        </w:rPr>
        <w:t xml:space="preserve">in </w:t>
      </w:r>
      <w:r w:rsidR="006519A3">
        <w:rPr>
          <w:b/>
          <w:bCs/>
        </w:rPr>
        <w:t xml:space="preserve">the </w:t>
      </w:r>
      <w:r>
        <w:rPr>
          <w:b/>
          <w:bCs/>
        </w:rPr>
        <w:t>Foundational Supports</w:t>
      </w:r>
      <w:r w:rsidR="006519A3">
        <w:rPr>
          <w:b/>
          <w:bCs/>
        </w:rPr>
        <w:t xml:space="preserve"> </w:t>
      </w:r>
      <w:r>
        <w:rPr>
          <w:b/>
          <w:bCs/>
        </w:rPr>
        <w:t>Strategy</w:t>
      </w:r>
      <w:r w:rsidR="006519A3">
        <w:rPr>
          <w:b/>
          <w:bCs/>
        </w:rPr>
        <w:t xml:space="preserve"> to ensure</w:t>
      </w:r>
      <w:r w:rsidR="00582309">
        <w:rPr>
          <w:b/>
          <w:bCs/>
        </w:rPr>
        <w:t xml:space="preserve"> </w:t>
      </w:r>
      <w:r w:rsidR="00001CF2">
        <w:rPr>
          <w:b/>
          <w:bCs/>
        </w:rPr>
        <w:t>they</w:t>
      </w:r>
      <w:r>
        <w:rPr>
          <w:b/>
          <w:bCs/>
        </w:rPr>
        <w:t xml:space="preserve"> </w:t>
      </w:r>
      <w:r w:rsidR="006519A3">
        <w:rPr>
          <w:b/>
          <w:bCs/>
        </w:rPr>
        <w:t>are</w:t>
      </w:r>
      <w:r w:rsidR="00001CF2">
        <w:rPr>
          <w:b/>
          <w:bCs/>
        </w:rPr>
        <w:t>, individually and collectively,</w:t>
      </w:r>
      <w:r w:rsidR="00A45373">
        <w:rPr>
          <w:b/>
          <w:bCs/>
        </w:rPr>
        <w:t xml:space="preserve"> </w:t>
      </w:r>
      <w:r w:rsidR="0030674E">
        <w:rPr>
          <w:b/>
          <w:bCs/>
        </w:rPr>
        <w:t>p</w:t>
      </w:r>
      <w:r>
        <w:rPr>
          <w:b/>
          <w:bCs/>
        </w:rPr>
        <w:t xml:space="preserve">urposeful, </w:t>
      </w:r>
      <w:r w:rsidR="0030674E">
        <w:rPr>
          <w:b/>
          <w:bCs/>
        </w:rPr>
        <w:t>h</w:t>
      </w:r>
      <w:r>
        <w:rPr>
          <w:b/>
          <w:bCs/>
        </w:rPr>
        <w:t xml:space="preserve">olistic, </w:t>
      </w:r>
      <w:r w:rsidR="0030674E">
        <w:rPr>
          <w:b/>
          <w:bCs/>
        </w:rPr>
        <w:t>c</w:t>
      </w:r>
      <w:r>
        <w:rPr>
          <w:b/>
          <w:bCs/>
        </w:rPr>
        <w:t xml:space="preserve">onsistent, </w:t>
      </w:r>
      <w:r w:rsidR="0030674E">
        <w:rPr>
          <w:b/>
          <w:bCs/>
        </w:rPr>
        <w:t>t</w:t>
      </w:r>
      <w:r>
        <w:rPr>
          <w:b/>
          <w:bCs/>
        </w:rPr>
        <w:t xml:space="preserve">ransparent, </w:t>
      </w:r>
      <w:r w:rsidR="0030674E">
        <w:rPr>
          <w:b/>
          <w:bCs/>
        </w:rPr>
        <w:t>s</w:t>
      </w:r>
      <w:r>
        <w:rPr>
          <w:b/>
          <w:bCs/>
        </w:rPr>
        <w:t>imple</w:t>
      </w:r>
      <w:r w:rsidR="0030674E">
        <w:rPr>
          <w:b/>
          <w:bCs/>
        </w:rPr>
        <w:t xml:space="preserve"> to navigate</w:t>
      </w:r>
      <w:r>
        <w:rPr>
          <w:b/>
          <w:bCs/>
        </w:rPr>
        <w:t xml:space="preserve">, </w:t>
      </w:r>
      <w:r w:rsidR="0030674E">
        <w:rPr>
          <w:b/>
          <w:bCs/>
        </w:rPr>
        <w:t>a</w:t>
      </w:r>
      <w:r>
        <w:rPr>
          <w:b/>
          <w:bCs/>
        </w:rPr>
        <w:t>ccessible</w:t>
      </w:r>
      <w:r w:rsidR="0030674E">
        <w:rPr>
          <w:b/>
          <w:bCs/>
        </w:rPr>
        <w:t>,</w:t>
      </w:r>
      <w:r>
        <w:rPr>
          <w:b/>
          <w:bCs/>
        </w:rPr>
        <w:t xml:space="preserve"> and </w:t>
      </w:r>
      <w:r w:rsidR="0030674E">
        <w:rPr>
          <w:b/>
          <w:bCs/>
        </w:rPr>
        <w:t>c</w:t>
      </w:r>
      <w:r>
        <w:rPr>
          <w:b/>
          <w:bCs/>
        </w:rPr>
        <w:t>oherent.</w:t>
      </w:r>
    </w:p>
    <w:bookmarkEnd w:id="24"/>
    <w:p w14:paraId="265E4373" w14:textId="77777777" w:rsidR="003D5B90" w:rsidRPr="003D5B90" w:rsidRDefault="003D5B90" w:rsidP="00C93DF6">
      <w:pPr>
        <w:spacing w:after="160"/>
        <w:jc w:val="both"/>
        <w:rPr>
          <w:b/>
        </w:rPr>
      </w:pPr>
    </w:p>
    <w:p w14:paraId="42BA8DAD" w14:textId="484AD17E" w:rsidR="00760D48" w:rsidRDefault="00760D48" w:rsidP="00C93DF6">
      <w:pPr>
        <w:pStyle w:val="Heading2"/>
        <w:spacing w:after="160" w:line="360" w:lineRule="auto"/>
      </w:pPr>
      <w:bookmarkStart w:id="25" w:name="_Toc184414881"/>
      <w:r w:rsidRPr="008B06F7">
        <w:t xml:space="preserve">Workforce </w:t>
      </w:r>
      <w:r w:rsidR="00030977">
        <w:t xml:space="preserve">development </w:t>
      </w:r>
      <w:r w:rsidR="003D5B90">
        <w:t>required</w:t>
      </w:r>
      <w:bookmarkEnd w:id="25"/>
    </w:p>
    <w:p w14:paraId="09D9EDB5" w14:textId="77777777" w:rsidR="00760D48" w:rsidRPr="00905AC8" w:rsidRDefault="00760D48" w:rsidP="00C93DF6">
      <w:pPr>
        <w:spacing w:after="160"/>
      </w:pPr>
      <w:r w:rsidRPr="00905AC8">
        <w:t xml:space="preserve">The success of </w:t>
      </w:r>
      <w:r>
        <w:t xml:space="preserve">Foundational Supports </w:t>
      </w:r>
      <w:r w:rsidRPr="00905AC8">
        <w:t xml:space="preserve">in lifting Australians with disability into authentic roles of social and economic participation in mainstream community life </w:t>
      </w:r>
      <w:r>
        <w:t xml:space="preserve">will </w:t>
      </w:r>
      <w:r w:rsidRPr="00905AC8">
        <w:t>rel</w:t>
      </w:r>
      <w:r>
        <w:t>y</w:t>
      </w:r>
      <w:r w:rsidRPr="00905AC8">
        <w:t xml:space="preserve"> heavily on the workforce. Indeed, when the Productivity Commission proposed the creation of the </w:t>
      </w:r>
      <w:r>
        <w:t>NDIS</w:t>
      </w:r>
      <w:r w:rsidRPr="00905AC8">
        <w:t xml:space="preserve">, it flagged its concern that the existing ‘shortcomings’ in workforce development ‘could be much greater under </w:t>
      </w:r>
      <w:proofErr w:type="gramStart"/>
      <w:r w:rsidRPr="00905AC8">
        <w:t>an</w:t>
      </w:r>
      <w:proofErr w:type="gramEnd"/>
      <w:r w:rsidRPr="00905AC8">
        <w:t xml:space="preserve"> NDIS’.</w:t>
      </w:r>
      <w:r>
        <w:rPr>
          <w:rStyle w:val="FootnoteReference"/>
        </w:rPr>
        <w:footnoteReference w:id="21"/>
      </w:r>
      <w:r w:rsidRPr="00905AC8">
        <w:t xml:space="preserve"> Yet, after the first 10 years of the Scheme’s operations, what good NDIS work looks like and how to build the workforce to achieve this remains largely ill-defined. The DSS produced the NDIS National Workforce Plan 2021-2025 with a vision to ‘support and retain existing workers’, ‘grow the workforce’, ‘maintain quality of participant supports delivered by workers’, and ‘support sector efficiency and </w:t>
      </w:r>
      <w:r w:rsidRPr="00905AC8">
        <w:lastRenderedPageBreak/>
        <w:t>innovation’.</w:t>
      </w:r>
      <w:r>
        <w:rPr>
          <w:rStyle w:val="FootnoteReference"/>
        </w:rPr>
        <w:footnoteReference w:id="22"/>
      </w:r>
      <w:r w:rsidRPr="00905AC8">
        <w:t xml:space="preserve"> What is missing from the </w:t>
      </w:r>
      <w:r>
        <w:t>P</w:t>
      </w:r>
      <w:r w:rsidRPr="00905AC8">
        <w:t xml:space="preserve">lan is a strongly articulated workforce purpose or mission statement and a description of what that looks like in practice. Arguably, the Plan is overly focused on quantitative elements at the expense of a more qualitative vision to shape the workforce that is needed </w:t>
      </w:r>
      <w:r>
        <w:t>across all aspects of disability support</w:t>
      </w:r>
      <w:r w:rsidRPr="00905AC8">
        <w:t>.</w:t>
      </w:r>
    </w:p>
    <w:p w14:paraId="0880F3A7" w14:textId="77777777" w:rsidR="00760D48" w:rsidRDefault="00760D48" w:rsidP="00760D48">
      <w:pPr>
        <w:spacing w:after="160"/>
      </w:pPr>
      <w:r w:rsidRPr="00905AC8">
        <w:t>The NDIS Review’s paper on ‘Building a more responsive and supportive workforce’ highlights the NDIS workforce has doubled in size over the past seven years to about 325,000 people.</w:t>
      </w:r>
      <w:r>
        <w:rPr>
          <w:rStyle w:val="FootnoteReference"/>
        </w:rPr>
        <w:footnoteReference w:id="23"/>
      </w:r>
      <w:r w:rsidRPr="00905AC8">
        <w:t xml:space="preserve"> Further, it will likely need to expand by an additional 128,000 workers before June 2025 to keep up with demand. With a high rate of worker turnover estimated at between 17 and 25 per cent – compared to an average of about 12 per cent across t</w:t>
      </w:r>
      <w:r>
        <w:t xml:space="preserve">he </w:t>
      </w:r>
      <w:r w:rsidRPr="00C9632B">
        <w:t>economy</w:t>
      </w:r>
      <w:r>
        <w:rPr>
          <w:rStyle w:val="FootnoteReference"/>
        </w:rPr>
        <w:footnoteReference w:id="24"/>
      </w:r>
      <w:r w:rsidRPr="00C9632B">
        <w:t xml:space="preserve"> – and competition for staff from other social sectors including aged care and childcare, the importance of addressing workforce issues is clear</w:t>
      </w:r>
      <w:r>
        <w:t>, especially considering the introduction of Foundational Supports will likely increase demand for skilled workers or lead to even further turnover of staff during the transition of funding arrangements</w:t>
      </w:r>
      <w:r w:rsidRPr="00C9632B">
        <w:t xml:space="preserve">. </w:t>
      </w:r>
    </w:p>
    <w:p w14:paraId="560FF84D" w14:textId="50B28332" w:rsidR="00760D48" w:rsidRPr="00905AC8" w:rsidRDefault="00760D48" w:rsidP="00760D48">
      <w:pPr>
        <w:spacing w:after="160"/>
      </w:pPr>
      <w:r>
        <w:t>The DSS must rigorously identify workforce shortages and invest in actions to solve these, such as by addressing casualisation and by building the peer workforce</w:t>
      </w:r>
      <w:r>
        <w:rPr>
          <w:rStyle w:val="FootnoteReference"/>
        </w:rPr>
        <w:footnoteReference w:id="25"/>
      </w:r>
      <w:r>
        <w:t>, to avoid a recurrence of block funding. Strong accountability measures must be designed to hold governments and Foundational Support providers to account to ensure this does not happen.</w:t>
      </w:r>
    </w:p>
    <w:p w14:paraId="3DB58960" w14:textId="39BDCDCF" w:rsidR="00760D48" w:rsidRDefault="00760D48" w:rsidP="00817CB2">
      <w:pPr>
        <w:spacing w:after="160"/>
        <w:rPr>
          <w:b/>
          <w:bCs/>
        </w:rPr>
      </w:pPr>
      <w:bookmarkStart w:id="26" w:name="_Hlk184408920"/>
      <w:r w:rsidRPr="002765E6">
        <w:rPr>
          <w:rStyle w:val="Heading4Char"/>
        </w:rPr>
        <w:t xml:space="preserve">Recommendation </w:t>
      </w:r>
      <w:r w:rsidR="00C93DF6">
        <w:rPr>
          <w:rStyle w:val="Heading4Char"/>
        </w:rPr>
        <w:t>9</w:t>
      </w:r>
      <w:r w:rsidRPr="002765E6">
        <w:rPr>
          <w:rStyle w:val="Heading4Char"/>
        </w:rPr>
        <w:t>:</w:t>
      </w:r>
      <w:r>
        <w:rPr>
          <w:b/>
          <w:bCs/>
          <w:color w:val="7030A0"/>
        </w:rPr>
        <w:t xml:space="preserve"> </w:t>
      </w:r>
      <w:r w:rsidR="00D271D9">
        <w:rPr>
          <w:b/>
          <w:bCs/>
        </w:rPr>
        <w:t>Federal and State and Territory</w:t>
      </w:r>
      <w:r>
        <w:rPr>
          <w:b/>
          <w:bCs/>
        </w:rPr>
        <w:t xml:space="preserve"> Government</w:t>
      </w:r>
      <w:r w:rsidR="00D271D9">
        <w:rPr>
          <w:b/>
          <w:bCs/>
        </w:rPr>
        <w:t>s</w:t>
      </w:r>
      <w:r w:rsidRPr="00125104">
        <w:rPr>
          <w:b/>
          <w:bCs/>
        </w:rPr>
        <w:t xml:space="preserve"> </w:t>
      </w:r>
      <w:r>
        <w:rPr>
          <w:b/>
          <w:bCs/>
        </w:rPr>
        <w:t xml:space="preserve">should </w:t>
      </w:r>
      <w:r w:rsidRPr="001E7B23">
        <w:rPr>
          <w:b/>
          <w:bCs/>
        </w:rPr>
        <w:t>rigorously identify workforce shortages and propose actions to solve these, such as by addressing casualisation and building the peer workforce</w:t>
      </w:r>
      <w:r>
        <w:rPr>
          <w:b/>
          <w:bCs/>
        </w:rPr>
        <w:t xml:space="preserve">, to ensure Foundational Supports can meet demand for supports from day one of their operation. </w:t>
      </w:r>
      <w:r w:rsidR="002935B7">
        <w:rPr>
          <w:b/>
          <w:bCs/>
        </w:rPr>
        <w:t>They should also invest in initiatives to build the quality of the workforce.</w:t>
      </w:r>
      <w:bookmarkEnd w:id="26"/>
    </w:p>
    <w:p w14:paraId="4B5E1767" w14:textId="271D98C2" w:rsidR="00D5080F" w:rsidRDefault="00D5080F" w:rsidP="00C93DF6">
      <w:pPr>
        <w:pStyle w:val="Heading2"/>
        <w:spacing w:after="160" w:line="360" w:lineRule="auto"/>
      </w:pPr>
      <w:bookmarkStart w:id="27" w:name="_Toc184414882"/>
      <w:r>
        <w:lastRenderedPageBreak/>
        <w:t xml:space="preserve">Importance of Communities of Practice </w:t>
      </w:r>
      <w:r w:rsidR="00801BFA">
        <w:t>for success</w:t>
      </w:r>
      <w:bookmarkEnd w:id="27"/>
    </w:p>
    <w:p w14:paraId="619A63CD" w14:textId="3517F8D1" w:rsidR="00D5080F" w:rsidRDefault="00D5080F" w:rsidP="00C93DF6">
      <w:pPr>
        <w:spacing w:after="160"/>
      </w:pPr>
      <w:r>
        <w:t xml:space="preserve">Foundational Supports will be rolled out </w:t>
      </w:r>
      <w:r w:rsidR="001F07D0">
        <w:t>across</w:t>
      </w:r>
      <w:r>
        <w:t xml:space="preserve"> the country, with a diverse range of </w:t>
      </w:r>
      <w:r w:rsidR="001F07D0">
        <w:t>entities</w:t>
      </w:r>
      <w:r>
        <w:t xml:space="preserve"> offering a variety of programs, services</w:t>
      </w:r>
      <w:r w:rsidR="001F07D0">
        <w:t>,</w:t>
      </w:r>
      <w:r>
        <w:t xml:space="preserve"> and initiatives with similar goals. </w:t>
      </w:r>
      <w:r w:rsidR="0070167D">
        <w:t>One element</w:t>
      </w:r>
      <w:r>
        <w:t xml:space="preserve"> that is often missing in the rollout of such large national programs is a mechanism for </w:t>
      </w:r>
      <w:r w:rsidR="00974060">
        <w:t>organisations</w:t>
      </w:r>
      <w:r>
        <w:t xml:space="preserve"> to connect with each other, collaborate</w:t>
      </w:r>
      <w:r w:rsidR="0070167D">
        <w:t>,</w:t>
      </w:r>
      <w:r>
        <w:t xml:space="preserve"> and share their experiences. One such mechanism </w:t>
      </w:r>
      <w:r w:rsidR="00974060">
        <w:t xml:space="preserve">to achieve this </w:t>
      </w:r>
      <w:r>
        <w:t xml:space="preserve">is </w:t>
      </w:r>
      <w:r w:rsidR="00974060">
        <w:t>C</w:t>
      </w:r>
      <w:r>
        <w:t>ommunit</w:t>
      </w:r>
      <w:r w:rsidR="00974060">
        <w:t>ies</w:t>
      </w:r>
      <w:r>
        <w:t xml:space="preserve"> of </w:t>
      </w:r>
      <w:r w:rsidR="00974060">
        <w:t>P</w:t>
      </w:r>
      <w:r>
        <w:t>ractice.</w:t>
      </w:r>
      <w:r w:rsidR="00974060">
        <w:t xml:space="preserve"> </w:t>
      </w:r>
      <w:r>
        <w:t xml:space="preserve">We recommend </w:t>
      </w:r>
      <w:r w:rsidR="00974060">
        <w:t>governments</w:t>
      </w:r>
      <w:r>
        <w:t xml:space="preserve"> explore how organisations funded through Foundational Supports</w:t>
      </w:r>
      <w:r w:rsidR="00974060">
        <w:t>, and workers employed to deliver</w:t>
      </w:r>
      <w:r w:rsidR="00801BFA">
        <w:t xml:space="preserve"> them,</w:t>
      </w:r>
      <w:r>
        <w:t xml:space="preserve"> could be connected through the establishment of </w:t>
      </w:r>
      <w:r w:rsidR="00801BFA">
        <w:t>C</w:t>
      </w:r>
      <w:r>
        <w:t xml:space="preserve">ommunities of </w:t>
      </w:r>
      <w:r w:rsidR="00801BFA">
        <w:t>P</w:t>
      </w:r>
      <w:r>
        <w:t>ractice. These could be organised according to specific geographic area</w:t>
      </w:r>
      <w:r w:rsidR="00F45744">
        <w:t>s</w:t>
      </w:r>
      <w:r>
        <w:t>; similarities in programs being offered (</w:t>
      </w:r>
      <w:r w:rsidR="00D513D9">
        <w:t>for examples,</w:t>
      </w:r>
      <w:r>
        <w:t xml:space="preserve"> projects providing peer support networks); similarities in target cohorts (</w:t>
      </w:r>
      <w:r w:rsidR="00D513D9">
        <w:t>for example,</w:t>
      </w:r>
      <w:r>
        <w:t xml:space="preserve"> programs for young people); or other shared characteristics (</w:t>
      </w:r>
      <w:r w:rsidR="00D513D9">
        <w:t>for example,</w:t>
      </w:r>
      <w:r>
        <w:t xml:space="preserve"> regional providers throughout the country).</w:t>
      </w:r>
    </w:p>
    <w:p w14:paraId="6EF5708E" w14:textId="24A3FE32" w:rsidR="00D5080F" w:rsidRDefault="00D5080F" w:rsidP="00F56CB4">
      <w:pPr>
        <w:spacing w:after="160"/>
      </w:pPr>
      <w:r>
        <w:t xml:space="preserve">Such </w:t>
      </w:r>
      <w:r w:rsidR="00956A98">
        <w:t>C</w:t>
      </w:r>
      <w:r>
        <w:t xml:space="preserve">ommunities of </w:t>
      </w:r>
      <w:r w:rsidR="00956A98">
        <w:t>P</w:t>
      </w:r>
      <w:r>
        <w:t>ractice would enable organisations to share learnings, tackle common challenges, exchange best practice</w:t>
      </w:r>
      <w:r w:rsidR="00956A98">
        <w:t xml:space="preserve"> information,</w:t>
      </w:r>
      <w:r>
        <w:t xml:space="preserve"> and ensure the Foundational Supports program operates in a logical, coherent, efficient manner. Evaluations are often built into projects, but their findings and recommendations are rarely accessed beyond those directly involved. Establishing </w:t>
      </w:r>
      <w:r w:rsidR="00320F7A">
        <w:t>C</w:t>
      </w:r>
      <w:r>
        <w:t xml:space="preserve">ommunities of </w:t>
      </w:r>
      <w:r w:rsidR="00320F7A">
        <w:t>P</w:t>
      </w:r>
      <w:r>
        <w:t>ractice would form a more interactive, real-time way of learning and improving programs as they are delivered.</w:t>
      </w:r>
      <w:r w:rsidR="00320F7A">
        <w:t xml:space="preserve"> We strongly believe they should be embedded in the Foundational Supports Strategy and </w:t>
      </w:r>
      <w:r w:rsidR="007C5120">
        <w:t xml:space="preserve">funded accordingly. </w:t>
      </w:r>
    </w:p>
    <w:p w14:paraId="2642E79D" w14:textId="7416D3E5" w:rsidR="00F11366" w:rsidRDefault="00557DF4" w:rsidP="00F56CB4">
      <w:pPr>
        <w:spacing w:after="160"/>
      </w:pPr>
      <w:r>
        <w:t xml:space="preserve">We note </w:t>
      </w:r>
      <w:r w:rsidR="00EF7D94">
        <w:t xml:space="preserve">from our own work </w:t>
      </w:r>
      <w:r>
        <w:t xml:space="preserve">the </w:t>
      </w:r>
      <w:r w:rsidR="00EF7D94">
        <w:t>success of Communities of Practice in</w:t>
      </w:r>
      <w:r w:rsidR="001A3D28">
        <w:t xml:space="preserve"> NDIS-funded initiatives</w:t>
      </w:r>
      <w:r w:rsidR="00173EC1">
        <w:t xml:space="preserve"> </w:t>
      </w:r>
      <w:r w:rsidR="00197E5E">
        <w:t>including</w:t>
      </w:r>
      <w:r w:rsidR="00F11366">
        <w:t>:</w:t>
      </w:r>
    </w:p>
    <w:p w14:paraId="537E446F" w14:textId="58BF3563" w:rsidR="00557DF4" w:rsidRDefault="00E22BD8" w:rsidP="00E22BD8">
      <w:pPr>
        <w:pStyle w:val="ListParagraph"/>
        <w:numPr>
          <w:ilvl w:val="0"/>
          <w:numId w:val="16"/>
        </w:numPr>
        <w:spacing w:after="160"/>
      </w:pPr>
      <w:r>
        <w:t>T</w:t>
      </w:r>
      <w:r w:rsidR="00EF7D94">
        <w:t xml:space="preserve">he DSO project from 2015 to 2018 </w:t>
      </w:r>
      <w:r w:rsidR="008B7C30">
        <w:t xml:space="preserve">that built hundreds of peer networks around Australia and </w:t>
      </w:r>
      <w:r w:rsidR="00C73DDB">
        <w:t xml:space="preserve">included a community-of-practice network in its </w:t>
      </w:r>
      <w:r w:rsidR="00F11366">
        <w:t>methodology</w:t>
      </w:r>
      <w:r>
        <w:t>.</w:t>
      </w:r>
    </w:p>
    <w:p w14:paraId="4FDC94EA" w14:textId="1370ED8E" w:rsidR="00F11366" w:rsidRDefault="00E22BD8" w:rsidP="00E22BD8">
      <w:pPr>
        <w:pStyle w:val="ListParagraph"/>
        <w:numPr>
          <w:ilvl w:val="0"/>
          <w:numId w:val="16"/>
        </w:numPr>
        <w:spacing w:after="160"/>
      </w:pPr>
      <w:r>
        <w:t>T</w:t>
      </w:r>
      <w:r w:rsidR="00CA1A1B">
        <w:t xml:space="preserve">he Inclusive School </w:t>
      </w:r>
      <w:r w:rsidR="00FA671E">
        <w:t>Communities</w:t>
      </w:r>
      <w:r w:rsidR="00CA1A1B">
        <w:t xml:space="preserve"> </w:t>
      </w:r>
      <w:r w:rsidR="00B15B27">
        <w:t xml:space="preserve">pilot </w:t>
      </w:r>
      <w:r w:rsidR="00CA1A1B">
        <w:t xml:space="preserve">project </w:t>
      </w:r>
      <w:r w:rsidR="00B15B27">
        <w:t xml:space="preserve">in South Australia, that ran for several years </w:t>
      </w:r>
      <w:r w:rsidR="00C61503">
        <w:t xml:space="preserve">and </w:t>
      </w:r>
      <w:r w:rsidR="00D169CE">
        <w:t xml:space="preserve">used a community-of-practice to build confidence and capacity for inclusion among a range of </w:t>
      </w:r>
      <w:r w:rsidR="008C7ADC">
        <w:t xml:space="preserve">mainstream </w:t>
      </w:r>
      <w:r w:rsidR="00D169CE">
        <w:t>school leaders</w:t>
      </w:r>
      <w:r>
        <w:t>.</w:t>
      </w:r>
    </w:p>
    <w:p w14:paraId="6125EF76" w14:textId="1C2919FF" w:rsidR="008C7ADC" w:rsidRDefault="00E22BD8" w:rsidP="00E22BD8">
      <w:pPr>
        <w:pStyle w:val="ListParagraph"/>
        <w:numPr>
          <w:ilvl w:val="0"/>
          <w:numId w:val="16"/>
        </w:numPr>
        <w:spacing w:after="160"/>
      </w:pPr>
      <w:r>
        <w:t>T</w:t>
      </w:r>
      <w:r w:rsidR="008C7ADC">
        <w:t xml:space="preserve">he Road </w:t>
      </w:r>
      <w:r>
        <w:t>t</w:t>
      </w:r>
      <w:r w:rsidR="008C7ADC">
        <w:t xml:space="preserve">o Employment </w:t>
      </w:r>
      <w:r w:rsidR="005F1D59">
        <w:t xml:space="preserve">project that </w:t>
      </w:r>
      <w:r w:rsidR="008F6331">
        <w:t>uses a community-of-practice</w:t>
      </w:r>
      <w:r w:rsidR="00197E5E">
        <w:t xml:space="preserve"> </w:t>
      </w:r>
      <w:r>
        <w:t xml:space="preserve">approach </w:t>
      </w:r>
      <w:r w:rsidR="00197E5E">
        <w:t xml:space="preserve">with industry clusters of employers that has produced authentic </w:t>
      </w:r>
      <w:r>
        <w:t>mainstream A</w:t>
      </w:r>
      <w:r w:rsidR="00197E5E">
        <w:t>ward-waged employment outcomes for local people with disability</w:t>
      </w:r>
      <w:r>
        <w:t>.</w:t>
      </w:r>
    </w:p>
    <w:p w14:paraId="752491C6" w14:textId="5AFAA7A4" w:rsidR="00C73DDB" w:rsidRDefault="00197E5E" w:rsidP="00F56CB4">
      <w:pPr>
        <w:spacing w:after="160"/>
      </w:pPr>
      <w:r>
        <w:lastRenderedPageBreak/>
        <w:t>All these examples are capable of being replicated and scaled up.</w:t>
      </w:r>
    </w:p>
    <w:p w14:paraId="6E406121" w14:textId="6C8BF92B" w:rsidR="00D5080F" w:rsidRPr="00F158F3" w:rsidRDefault="00D5080F" w:rsidP="00EC5AEB">
      <w:pPr>
        <w:spacing w:after="160"/>
        <w:rPr>
          <w:b/>
          <w:bCs/>
          <w:iCs/>
        </w:rPr>
      </w:pPr>
      <w:bookmarkStart w:id="28" w:name="_Hlk184408932"/>
      <w:r w:rsidRPr="007C5120">
        <w:rPr>
          <w:rStyle w:val="Heading4Char"/>
        </w:rPr>
        <w:t xml:space="preserve">Recommendation </w:t>
      </w:r>
      <w:r w:rsidR="007C5120" w:rsidRPr="007C5120">
        <w:rPr>
          <w:rStyle w:val="Heading4Char"/>
        </w:rPr>
        <w:t>10</w:t>
      </w:r>
      <w:r w:rsidRPr="007C5120">
        <w:rPr>
          <w:rStyle w:val="Heading4Char"/>
        </w:rPr>
        <w:t>:</w:t>
      </w:r>
      <w:r>
        <w:rPr>
          <w:b/>
          <w:bCs/>
          <w:color w:val="7030A0"/>
        </w:rPr>
        <w:t xml:space="preserve"> </w:t>
      </w:r>
      <w:r w:rsidRPr="00125104">
        <w:rPr>
          <w:b/>
          <w:bCs/>
        </w:rPr>
        <w:t xml:space="preserve">The </w:t>
      </w:r>
      <w:r w:rsidR="005A1EF3">
        <w:rPr>
          <w:b/>
          <w:bCs/>
        </w:rPr>
        <w:t>Australian Government</w:t>
      </w:r>
      <w:r w:rsidRPr="00125104">
        <w:rPr>
          <w:b/>
          <w:bCs/>
        </w:rPr>
        <w:t xml:space="preserve"> should </w:t>
      </w:r>
      <w:r w:rsidR="00745B6C">
        <w:rPr>
          <w:b/>
          <w:bCs/>
        </w:rPr>
        <w:t xml:space="preserve">embed the establishment of Communities of Practice in the Foundational Supports Strategy. As part of this, it </w:t>
      </w:r>
      <w:r w:rsidR="001C58C3">
        <w:rPr>
          <w:b/>
          <w:bCs/>
        </w:rPr>
        <w:t xml:space="preserve">should </w:t>
      </w:r>
      <w:r w:rsidRPr="00352981">
        <w:rPr>
          <w:b/>
        </w:rPr>
        <w:t xml:space="preserve">explore how </w:t>
      </w:r>
      <w:r w:rsidR="001C58C3">
        <w:rPr>
          <w:b/>
        </w:rPr>
        <w:t>entities delivering</w:t>
      </w:r>
      <w:r w:rsidRPr="00352981">
        <w:rPr>
          <w:b/>
        </w:rPr>
        <w:t xml:space="preserve"> Foundational Supports could be connected </w:t>
      </w:r>
      <w:r w:rsidR="00432B31">
        <w:rPr>
          <w:b/>
        </w:rPr>
        <w:t>to each other, for example</w:t>
      </w:r>
      <w:r w:rsidR="00867CD3">
        <w:rPr>
          <w:b/>
        </w:rPr>
        <w:t>,</w:t>
      </w:r>
      <w:r w:rsidR="00432B31">
        <w:rPr>
          <w:b/>
        </w:rPr>
        <w:t xml:space="preserve"> </w:t>
      </w:r>
      <w:r w:rsidRPr="00352981">
        <w:rPr>
          <w:b/>
        </w:rPr>
        <w:t>according to specific geographic area</w:t>
      </w:r>
      <w:r w:rsidR="00AE5DA4">
        <w:rPr>
          <w:b/>
        </w:rPr>
        <w:t>,</w:t>
      </w:r>
      <w:r w:rsidRPr="00352981">
        <w:rPr>
          <w:b/>
        </w:rPr>
        <w:t xml:space="preserve"> similarities in programs being offered</w:t>
      </w:r>
      <w:r w:rsidR="00AE5DA4">
        <w:rPr>
          <w:b/>
        </w:rPr>
        <w:t>,</w:t>
      </w:r>
      <w:r w:rsidRPr="00352981">
        <w:rPr>
          <w:b/>
        </w:rPr>
        <w:t xml:space="preserve"> similarities in target cohorts</w:t>
      </w:r>
      <w:r w:rsidR="00AE5DA4">
        <w:rPr>
          <w:b/>
        </w:rPr>
        <w:t>,</w:t>
      </w:r>
      <w:r w:rsidRPr="00352981">
        <w:rPr>
          <w:b/>
        </w:rPr>
        <w:t xml:space="preserve"> or other shared characteristics.</w:t>
      </w:r>
      <w:bookmarkEnd w:id="28"/>
    </w:p>
    <w:p w14:paraId="097A9AA5" w14:textId="3D1BDCB8" w:rsidR="00671E69" w:rsidRDefault="00671E69" w:rsidP="00F56CB4">
      <w:pPr>
        <w:spacing w:after="160"/>
      </w:pPr>
    </w:p>
    <w:p w14:paraId="79617835" w14:textId="77777777" w:rsidR="0003457E" w:rsidRDefault="0003457E" w:rsidP="00F56CB4">
      <w:pPr>
        <w:pStyle w:val="Heading2"/>
        <w:spacing w:after="160" w:line="360" w:lineRule="auto"/>
      </w:pPr>
      <w:bookmarkStart w:id="29" w:name="_Toc184414883"/>
      <w:r>
        <w:t>Transitional arrangements for current ILC-funded initiatives</w:t>
      </w:r>
      <w:bookmarkEnd w:id="29"/>
      <w:r>
        <w:t xml:space="preserve"> </w:t>
      </w:r>
    </w:p>
    <w:p w14:paraId="1DCF7B59" w14:textId="0C5858CA" w:rsidR="000043CD" w:rsidRDefault="00DA22C7" w:rsidP="00F56CB4">
      <w:pPr>
        <w:spacing w:after="160"/>
      </w:pPr>
      <w:r>
        <w:t xml:space="preserve">The </w:t>
      </w:r>
      <w:r w:rsidR="002A69A6">
        <w:t xml:space="preserve">uncertainty surrounding the </w:t>
      </w:r>
      <w:r w:rsidR="00FB1E60">
        <w:t xml:space="preserve">potential </w:t>
      </w:r>
      <w:r w:rsidR="002A69A6">
        <w:t xml:space="preserve">extension </w:t>
      </w:r>
      <w:r w:rsidR="007E64A4">
        <w:t>and/</w:t>
      </w:r>
      <w:r w:rsidR="00A64C6F">
        <w:t>or discontinuation of</w:t>
      </w:r>
      <w:r w:rsidR="001911CE">
        <w:t xml:space="preserve"> ILC-funded projects </w:t>
      </w:r>
      <w:r w:rsidR="00B47658">
        <w:t xml:space="preserve">at </w:t>
      </w:r>
      <w:r w:rsidR="004B5F73">
        <w:t>the end of the 2023-24 financial year caused significant distress</w:t>
      </w:r>
      <w:r w:rsidR="00EB78EF">
        <w:t xml:space="preserve"> </w:t>
      </w:r>
      <w:r w:rsidR="00D3722F">
        <w:t xml:space="preserve">in the disability community. </w:t>
      </w:r>
      <w:r w:rsidR="001E1A04">
        <w:t>Indeed, t</w:t>
      </w:r>
      <w:r w:rsidR="00AD474F">
        <w:t xml:space="preserve">he ILC grants approach has been criticised as being </w:t>
      </w:r>
      <w:r w:rsidR="00343ED4">
        <w:t>‘</w:t>
      </w:r>
      <w:r w:rsidR="00AD474F" w:rsidRPr="009E2266">
        <w:t xml:space="preserve">a </w:t>
      </w:r>
      <w:r w:rsidR="00343ED4">
        <w:t>“</w:t>
      </w:r>
      <w:r w:rsidR="00AD474F" w:rsidRPr="009E2266">
        <w:t>piecemeal</w:t>
      </w:r>
      <w:r w:rsidR="00343ED4">
        <w:t>”</w:t>
      </w:r>
      <w:r w:rsidR="00AD474F" w:rsidRPr="009E2266">
        <w:t xml:space="preserve">, </w:t>
      </w:r>
      <w:r w:rsidR="00343ED4">
        <w:t>“</w:t>
      </w:r>
      <w:r w:rsidR="00AD474F" w:rsidRPr="009E2266">
        <w:t>scattergun</w:t>
      </w:r>
      <w:r w:rsidR="00343ED4">
        <w:t>”</w:t>
      </w:r>
      <w:r w:rsidR="00AD474F" w:rsidRPr="009E2266">
        <w:t xml:space="preserve"> and patchy </w:t>
      </w:r>
      <w:r w:rsidR="00343ED4">
        <w:t>“</w:t>
      </w:r>
      <w:r w:rsidR="00AD474F" w:rsidRPr="009E2266">
        <w:t>jigsaw</w:t>
      </w:r>
      <w:r w:rsidR="00343ED4">
        <w:t>”</w:t>
      </w:r>
      <w:r w:rsidR="00AD474F" w:rsidRPr="009E2266">
        <w:t xml:space="preserve"> of funding that undermines the achievement of the ILC outcomes.</w:t>
      </w:r>
      <w:r w:rsidR="00343ED4">
        <w:t>’</w:t>
      </w:r>
      <w:r w:rsidR="00AD474F">
        <w:rPr>
          <w:rStyle w:val="FootnoteReference"/>
        </w:rPr>
        <w:footnoteReference w:id="26"/>
      </w:r>
      <w:r w:rsidR="00AD474F">
        <w:t xml:space="preserve">  </w:t>
      </w:r>
      <w:r w:rsidR="00780949">
        <w:t xml:space="preserve">It is imperative </w:t>
      </w:r>
      <w:r w:rsidR="00DA7680">
        <w:t xml:space="preserve">that </w:t>
      </w:r>
      <w:r w:rsidR="00780949">
        <w:t xml:space="preserve">this situation is </w:t>
      </w:r>
      <w:r w:rsidR="00B62970">
        <w:t xml:space="preserve">not repeated </w:t>
      </w:r>
      <w:r w:rsidR="003C0612">
        <w:t xml:space="preserve">during the transition from ILC to </w:t>
      </w:r>
      <w:r w:rsidR="00E56018">
        <w:t>Foundational Supports.</w:t>
      </w:r>
    </w:p>
    <w:p w14:paraId="1D69169E" w14:textId="7FC97A34" w:rsidR="00350F1C" w:rsidRDefault="000809E1" w:rsidP="00F56CB4">
      <w:pPr>
        <w:spacing w:after="160"/>
      </w:pPr>
      <w:r>
        <w:t>P</w:t>
      </w:r>
      <w:r w:rsidR="00712E61">
        <w:t xml:space="preserve">rojects funded through the Economic Participation stream of ILC were set to </w:t>
      </w:r>
      <w:r w:rsidR="00BD138D">
        <w:t xml:space="preserve">end on 30 June 2024, and </w:t>
      </w:r>
      <w:r w:rsidR="00194224">
        <w:t xml:space="preserve">organisations receiving </w:t>
      </w:r>
      <w:r w:rsidR="00AE4E52">
        <w:t xml:space="preserve">this funding received no </w:t>
      </w:r>
      <w:r w:rsidR="00F254F9">
        <w:t xml:space="preserve">clear </w:t>
      </w:r>
      <w:r w:rsidR="001822EB">
        <w:t xml:space="preserve">information prior to this date as to whether these projects would simply come to an end; whether there would be another opportunity to apply for further funding; or whether </w:t>
      </w:r>
      <w:r w:rsidR="000043CD">
        <w:t>the projects would be continued</w:t>
      </w:r>
      <w:r w:rsidR="009A72CB">
        <w:t xml:space="preserve"> (and if so, for how long)</w:t>
      </w:r>
      <w:r w:rsidR="000043CD">
        <w:t xml:space="preserve">. </w:t>
      </w:r>
      <w:r w:rsidR="00F254F9">
        <w:t>Organisations such as JFA Purple Orange</w:t>
      </w:r>
      <w:r w:rsidR="00CE11BC">
        <w:t>,</w:t>
      </w:r>
      <w:r w:rsidR="00F254F9">
        <w:t xml:space="preserve"> were eventually notified of a 12-month extension</w:t>
      </w:r>
      <w:r w:rsidR="003F3B7B">
        <w:t xml:space="preserve">, </w:t>
      </w:r>
      <w:r w:rsidR="00EA501A">
        <w:t xml:space="preserve">but </w:t>
      </w:r>
      <w:r w:rsidR="00223101">
        <w:t xml:space="preserve">the future of this funding beyond 30 June 2025 </w:t>
      </w:r>
      <w:r w:rsidR="00A91281">
        <w:t>remains</w:t>
      </w:r>
      <w:r w:rsidR="00223101">
        <w:t xml:space="preserve"> unclear.</w:t>
      </w:r>
    </w:p>
    <w:p w14:paraId="4182E51A" w14:textId="17294DB9" w:rsidR="00223101" w:rsidRDefault="001B0A88" w:rsidP="00E3435A">
      <w:pPr>
        <w:spacing w:after="160"/>
      </w:pPr>
      <w:r>
        <w:t>R</w:t>
      </w:r>
      <w:r w:rsidR="00735E5E">
        <w:t xml:space="preserve">esults of the </w:t>
      </w:r>
      <w:r>
        <w:t xml:space="preserve">2024-25 </w:t>
      </w:r>
      <w:r w:rsidR="00950580">
        <w:t>I</w:t>
      </w:r>
      <w:r>
        <w:t xml:space="preserve">ndividual </w:t>
      </w:r>
      <w:r w:rsidR="00950580">
        <w:t>C</w:t>
      </w:r>
      <w:r>
        <w:t xml:space="preserve">apacity </w:t>
      </w:r>
      <w:r w:rsidR="00950580">
        <w:t>B</w:t>
      </w:r>
      <w:r>
        <w:t xml:space="preserve">uilding round were released </w:t>
      </w:r>
      <w:r w:rsidR="00CE11BC">
        <w:t>extremely late</w:t>
      </w:r>
      <w:r>
        <w:t xml:space="preserve">, causing considerable stress and </w:t>
      </w:r>
      <w:r w:rsidR="00980427">
        <w:t xml:space="preserve">concern </w:t>
      </w:r>
      <w:r w:rsidR="001204E9">
        <w:t xml:space="preserve">in the disability community. </w:t>
      </w:r>
      <w:r w:rsidR="00222B79">
        <w:t>When results were announced,</w:t>
      </w:r>
      <w:r w:rsidR="00330D8B">
        <w:t xml:space="preserve"> </w:t>
      </w:r>
      <w:r w:rsidR="006C661D">
        <w:t xml:space="preserve">the community was shocked to discover that </w:t>
      </w:r>
      <w:r w:rsidR="00040DBB">
        <w:t>certain long-standing capacity-building project</w:t>
      </w:r>
      <w:r w:rsidR="00AB5417">
        <w:t xml:space="preserve">s </w:t>
      </w:r>
      <w:r w:rsidR="00385B1E">
        <w:t xml:space="preserve">(many staffed by people with disability) </w:t>
      </w:r>
      <w:r w:rsidR="00AB5417">
        <w:t xml:space="preserve">had not been successful. </w:t>
      </w:r>
      <w:r w:rsidR="0018492F">
        <w:t>While transitional</w:t>
      </w:r>
      <w:r w:rsidR="0057102D">
        <w:t xml:space="preserve">, ad hoc </w:t>
      </w:r>
      <w:r w:rsidR="0018492F">
        <w:t>12-month funding has been provided for some of these projects</w:t>
      </w:r>
      <w:r w:rsidR="007C53CD">
        <w:t xml:space="preserve"> – </w:t>
      </w:r>
      <w:r w:rsidR="007C53CD">
        <w:lastRenderedPageBreak/>
        <w:t xml:space="preserve">including two peer networks </w:t>
      </w:r>
      <w:r w:rsidR="00272E7C">
        <w:t xml:space="preserve">hosted by JFA Purple Orange – </w:t>
      </w:r>
      <w:r w:rsidR="0083458D">
        <w:t xml:space="preserve">the lack of </w:t>
      </w:r>
      <w:r w:rsidR="004A49D3">
        <w:t xml:space="preserve">certainty </w:t>
      </w:r>
      <w:r w:rsidR="007B59EF">
        <w:t>going forward</w:t>
      </w:r>
      <w:r w:rsidR="00193301">
        <w:t xml:space="preserve"> </w:t>
      </w:r>
      <w:r w:rsidR="000F0074">
        <w:t xml:space="preserve">remains a source of </w:t>
      </w:r>
      <w:r w:rsidR="00875696">
        <w:t>distress</w:t>
      </w:r>
      <w:r w:rsidR="00A842B0">
        <w:t xml:space="preserve">. </w:t>
      </w:r>
    </w:p>
    <w:p w14:paraId="02A405F8" w14:textId="2D800E5A" w:rsidR="00B23B33" w:rsidRDefault="00DC3570" w:rsidP="00F56CB4">
      <w:pPr>
        <w:spacing w:after="160"/>
      </w:pPr>
      <w:r>
        <w:t xml:space="preserve">As planning </w:t>
      </w:r>
      <w:r w:rsidR="00BE4E1E">
        <w:t>takes place for the Foundational Support</w:t>
      </w:r>
      <w:r w:rsidR="0077042D">
        <w:t>s</w:t>
      </w:r>
      <w:r w:rsidR="00BE4E1E">
        <w:t xml:space="preserve"> </w:t>
      </w:r>
      <w:r w:rsidR="00E12BFE">
        <w:t>program, t</w:t>
      </w:r>
      <w:r w:rsidR="00E30777">
        <w:t xml:space="preserve">he future of the ILC program is not clear. We urge DSS to update </w:t>
      </w:r>
      <w:r w:rsidR="00110FD1">
        <w:t>all existing ILC</w:t>
      </w:r>
      <w:r w:rsidR="00635666">
        <w:t xml:space="preserve"> funding recipients </w:t>
      </w:r>
      <w:r w:rsidR="003A4271">
        <w:t>(as well as those that have received ‘ad hoc’ funding</w:t>
      </w:r>
      <w:r w:rsidR="00375F8A">
        <w:t xml:space="preserve"> for projects that were previously ILC-funded</w:t>
      </w:r>
      <w:r w:rsidR="003A4271">
        <w:t xml:space="preserve">) </w:t>
      </w:r>
      <w:r w:rsidR="00635666">
        <w:t xml:space="preserve">as to </w:t>
      </w:r>
      <w:r w:rsidR="001E002F">
        <w:t>whether the ILC program will continue and</w:t>
      </w:r>
      <w:r w:rsidR="002B5E87">
        <w:t>,</w:t>
      </w:r>
      <w:r w:rsidR="001E002F">
        <w:t xml:space="preserve"> if so, </w:t>
      </w:r>
      <w:r w:rsidR="00514F33">
        <w:t xml:space="preserve">provide details about its focus and </w:t>
      </w:r>
      <w:r w:rsidR="009917A3">
        <w:t xml:space="preserve">the </w:t>
      </w:r>
      <w:r w:rsidR="00ED632B">
        <w:t>timing</w:t>
      </w:r>
      <w:r w:rsidR="00C162FB">
        <w:t xml:space="preserve"> of funding</w:t>
      </w:r>
      <w:r w:rsidR="00167980">
        <w:t>.</w:t>
      </w:r>
    </w:p>
    <w:p w14:paraId="2C69AD52" w14:textId="379E6BEA" w:rsidR="00E941B2" w:rsidRDefault="00C94EA5" w:rsidP="00F56CB4">
      <w:pPr>
        <w:spacing w:after="160"/>
      </w:pPr>
      <w:r>
        <w:t>It is becoming increasingly apparent that the Foundational Support</w:t>
      </w:r>
      <w:r w:rsidR="000D2301">
        <w:t>s</w:t>
      </w:r>
      <w:r>
        <w:t xml:space="preserve"> program will not be ready to </w:t>
      </w:r>
      <w:r w:rsidR="00134D3A">
        <w:t>commence on 1 July 2025</w:t>
      </w:r>
      <w:r w:rsidR="000D2301">
        <w:t>, or otherwise w</w:t>
      </w:r>
      <w:r w:rsidR="00990AD8">
        <w:t>ill</w:t>
      </w:r>
      <w:r w:rsidR="000D2301">
        <w:t xml:space="preserve"> have to be extremely rushed and</w:t>
      </w:r>
      <w:r w:rsidR="00990AD8">
        <w:t>,</w:t>
      </w:r>
      <w:r w:rsidR="000D2301">
        <w:t xml:space="preserve"> there</w:t>
      </w:r>
      <w:r w:rsidR="00990AD8">
        <w:t>fore, suboptimal</w:t>
      </w:r>
      <w:r w:rsidR="00134D3A">
        <w:t xml:space="preserve">. </w:t>
      </w:r>
      <w:r w:rsidR="001A4410">
        <w:t>Many organisations throughout Australia</w:t>
      </w:r>
      <w:r w:rsidR="00FA052D">
        <w:t xml:space="preserve"> </w:t>
      </w:r>
      <w:r w:rsidR="000B6A8F">
        <w:t xml:space="preserve">are delivering </w:t>
      </w:r>
      <w:r w:rsidR="002B1E41">
        <w:t>DSS</w:t>
      </w:r>
      <w:r w:rsidR="000B6A8F">
        <w:t xml:space="preserve">-funded </w:t>
      </w:r>
      <w:r w:rsidR="00750CEF">
        <w:t>projects</w:t>
      </w:r>
      <w:r w:rsidR="00360D47">
        <w:t xml:space="preserve"> that will cease on 30 June 2025. </w:t>
      </w:r>
      <w:r w:rsidR="006A1438">
        <w:t>We urge DSS to provide a clear timeline</w:t>
      </w:r>
      <w:r w:rsidR="000A7765">
        <w:t xml:space="preserve"> for the rollout of </w:t>
      </w:r>
      <w:r w:rsidR="00F1662B">
        <w:t xml:space="preserve">the </w:t>
      </w:r>
      <w:r w:rsidR="000A7765">
        <w:t>Foundational Support</w:t>
      </w:r>
      <w:r w:rsidR="000D2301">
        <w:t>s</w:t>
      </w:r>
      <w:r w:rsidR="00F1662B">
        <w:t xml:space="preserve"> program</w:t>
      </w:r>
      <w:r w:rsidR="000D2301">
        <w:t>,</w:t>
      </w:r>
      <w:r w:rsidR="00F374FF">
        <w:t xml:space="preserve"> </w:t>
      </w:r>
      <w:r w:rsidR="00437D60">
        <w:t>as well as</w:t>
      </w:r>
      <w:r w:rsidR="00F374FF">
        <w:t xml:space="preserve"> information about </w:t>
      </w:r>
      <w:r w:rsidR="00D1717E">
        <w:t xml:space="preserve">what will happen to </w:t>
      </w:r>
      <w:r w:rsidR="00372C46">
        <w:t xml:space="preserve">funding for </w:t>
      </w:r>
      <w:r w:rsidR="00D511D6">
        <w:t>existing</w:t>
      </w:r>
      <w:r w:rsidR="00372C46">
        <w:t xml:space="preserve"> projects.</w:t>
      </w:r>
      <w:r w:rsidR="006A765D">
        <w:t xml:space="preserve"> This must happen as soon as possible so organisations such as ours can </w:t>
      </w:r>
      <w:r w:rsidR="00E11F32">
        <w:t>plan accordingly.</w:t>
      </w:r>
      <w:r w:rsidR="008F05C3">
        <w:t xml:space="preserve"> </w:t>
      </w:r>
      <w:r w:rsidR="00D511D6">
        <w:t xml:space="preserve">To not do so, will undermine the ultimate success of Foundational Supports because many </w:t>
      </w:r>
      <w:r w:rsidR="005C4ABA">
        <w:t>established projects are very well-placed to deliver strong outcomes</w:t>
      </w:r>
      <w:r w:rsidR="001C5E82">
        <w:t xml:space="preserve"> under </w:t>
      </w:r>
      <w:r w:rsidR="005B3BDC">
        <w:t>the</w:t>
      </w:r>
      <w:r w:rsidR="001C5E82">
        <w:t xml:space="preserve"> new </w:t>
      </w:r>
      <w:r w:rsidR="00420E85">
        <w:t>framework if their hard-</w:t>
      </w:r>
      <w:r w:rsidR="008B2BDA">
        <w:t>won</w:t>
      </w:r>
      <w:r w:rsidR="00420E85">
        <w:t xml:space="preserve"> momentum is </w:t>
      </w:r>
      <w:r w:rsidR="005E4A1E">
        <w:t>not undermined by further uncertainty</w:t>
      </w:r>
      <w:r w:rsidR="00890001">
        <w:t xml:space="preserve">. </w:t>
      </w:r>
    </w:p>
    <w:p w14:paraId="25CC1CEF" w14:textId="0F861B5A" w:rsidR="00372C46" w:rsidRDefault="008D6892" w:rsidP="00F56CB4">
      <w:pPr>
        <w:spacing w:after="160"/>
      </w:pPr>
      <w:r>
        <w:t xml:space="preserve">At JFA Purple Orange, </w:t>
      </w:r>
      <w:proofErr w:type="gramStart"/>
      <w:r>
        <w:t>the majority of</w:t>
      </w:r>
      <w:proofErr w:type="gramEnd"/>
      <w:r>
        <w:t xml:space="preserve"> our staff </w:t>
      </w:r>
      <w:r w:rsidR="000A5031">
        <w:t>have</w:t>
      </w:r>
      <w:r>
        <w:t xml:space="preserve"> a disability. </w:t>
      </w:r>
      <w:r w:rsidR="00802D4F">
        <w:t xml:space="preserve">And our projects have deep, longstanding ties with the local disability community. </w:t>
      </w:r>
      <w:r w:rsidR="00B37BD1">
        <w:t xml:space="preserve">If we cannot inform our staff and community </w:t>
      </w:r>
      <w:r w:rsidR="002027F3">
        <w:t xml:space="preserve">about the future of our </w:t>
      </w:r>
      <w:r w:rsidR="005C5462">
        <w:t>DSS</w:t>
      </w:r>
      <w:r w:rsidR="002027F3">
        <w:t>-funded initiatives</w:t>
      </w:r>
      <w:r w:rsidR="00544595">
        <w:t xml:space="preserve"> imminently</w:t>
      </w:r>
      <w:r w:rsidR="002027F3">
        <w:t xml:space="preserve">, this will likely result in people leaving their jobs, </w:t>
      </w:r>
      <w:r w:rsidR="0000413D">
        <w:t>losi</w:t>
      </w:r>
      <w:r w:rsidR="00F116A4">
        <w:t xml:space="preserve">ng </w:t>
      </w:r>
      <w:r w:rsidR="005C5462">
        <w:t>critical community connections</w:t>
      </w:r>
      <w:r w:rsidR="00DF7B0C">
        <w:t xml:space="preserve">, and </w:t>
      </w:r>
      <w:r w:rsidR="002E7A2E">
        <w:t xml:space="preserve">feeling reluctant to </w:t>
      </w:r>
      <w:r w:rsidR="00254D0C">
        <w:t xml:space="preserve">fully engage </w:t>
      </w:r>
      <w:r w:rsidR="00B954A3">
        <w:t xml:space="preserve">in our projects or undertake forward planning. </w:t>
      </w:r>
      <w:r w:rsidR="003F4750">
        <w:t xml:space="preserve">We are already </w:t>
      </w:r>
      <w:r w:rsidR="00222467">
        <w:t xml:space="preserve">receiving questions </w:t>
      </w:r>
      <w:r w:rsidR="007068FE">
        <w:t xml:space="preserve">from </w:t>
      </w:r>
      <w:r w:rsidR="00836E0F">
        <w:t xml:space="preserve">our permanent staff, </w:t>
      </w:r>
      <w:r w:rsidR="00E44FAF">
        <w:t>casual employees</w:t>
      </w:r>
      <w:r w:rsidR="00FE24FF">
        <w:t>,</w:t>
      </w:r>
      <w:r w:rsidR="00E44FAF">
        <w:t xml:space="preserve"> and external stakeholders about the future of our projects.</w:t>
      </w:r>
      <w:r w:rsidR="0067683F">
        <w:t xml:space="preserve"> It is essential that the messy, stress-inducing </w:t>
      </w:r>
      <w:r w:rsidR="00BC424F">
        <w:t xml:space="preserve">situation experienced </w:t>
      </w:r>
      <w:r w:rsidR="00851FDE">
        <w:t xml:space="preserve">mid-2024 </w:t>
      </w:r>
      <w:r w:rsidR="006A55EB">
        <w:t>does not occur again.</w:t>
      </w:r>
    </w:p>
    <w:p w14:paraId="1B6A761F" w14:textId="5586316B" w:rsidR="00550C70" w:rsidRDefault="000A5515" w:rsidP="00F56CB4">
      <w:pPr>
        <w:spacing w:after="160"/>
        <w:rPr>
          <w:b/>
          <w:bCs/>
        </w:rPr>
      </w:pPr>
      <w:bookmarkStart w:id="30" w:name="_Hlk184408947"/>
      <w:r w:rsidRPr="005B3BDC">
        <w:rPr>
          <w:rStyle w:val="Heading4Char"/>
        </w:rPr>
        <w:t xml:space="preserve">Recommendation </w:t>
      </w:r>
      <w:r w:rsidR="005B3BDC" w:rsidRPr="005B3BDC">
        <w:rPr>
          <w:rStyle w:val="Heading4Char"/>
        </w:rPr>
        <w:t>11</w:t>
      </w:r>
      <w:r w:rsidRPr="005B3BDC">
        <w:rPr>
          <w:rStyle w:val="Heading4Char"/>
        </w:rPr>
        <w:t>:</w:t>
      </w:r>
      <w:r>
        <w:rPr>
          <w:b/>
          <w:bCs/>
          <w:color w:val="7030A0"/>
        </w:rPr>
        <w:t xml:space="preserve"> </w:t>
      </w:r>
      <w:r w:rsidRPr="00125104">
        <w:rPr>
          <w:b/>
          <w:bCs/>
        </w:rPr>
        <w:t xml:space="preserve">The </w:t>
      </w:r>
      <w:r w:rsidR="00550C70">
        <w:rPr>
          <w:b/>
          <w:bCs/>
        </w:rPr>
        <w:t>Australian Government</w:t>
      </w:r>
      <w:r w:rsidRPr="00125104">
        <w:rPr>
          <w:b/>
          <w:bCs/>
        </w:rPr>
        <w:t xml:space="preserve"> </w:t>
      </w:r>
      <w:r>
        <w:rPr>
          <w:b/>
          <w:bCs/>
        </w:rPr>
        <w:t>should</w:t>
      </w:r>
      <w:r w:rsidR="00403612" w:rsidRPr="00403612">
        <w:rPr>
          <w:b/>
          <w:bCs/>
        </w:rPr>
        <w:t xml:space="preserve"> provide a clear </w:t>
      </w:r>
      <w:r w:rsidR="005B3BDC">
        <w:rPr>
          <w:b/>
          <w:bCs/>
        </w:rPr>
        <w:t xml:space="preserve">realistic </w:t>
      </w:r>
      <w:r w:rsidR="00403612" w:rsidRPr="00403612">
        <w:rPr>
          <w:b/>
          <w:bCs/>
        </w:rPr>
        <w:t>timeline for the rollout of the Foundational Support</w:t>
      </w:r>
      <w:r w:rsidR="00550C70">
        <w:rPr>
          <w:b/>
          <w:bCs/>
        </w:rPr>
        <w:t>s</w:t>
      </w:r>
      <w:r w:rsidR="00403612" w:rsidRPr="00403612">
        <w:rPr>
          <w:b/>
          <w:bCs/>
        </w:rPr>
        <w:t xml:space="preserve"> program</w:t>
      </w:r>
      <w:r w:rsidR="007E2F56">
        <w:rPr>
          <w:b/>
          <w:bCs/>
        </w:rPr>
        <w:t xml:space="preserve"> and commit </w:t>
      </w:r>
      <w:r w:rsidR="00A82F25">
        <w:rPr>
          <w:b/>
          <w:bCs/>
        </w:rPr>
        <w:t xml:space="preserve">bridging </w:t>
      </w:r>
      <w:r w:rsidR="007E2F56">
        <w:rPr>
          <w:b/>
          <w:bCs/>
        </w:rPr>
        <w:t>funding to existing projects</w:t>
      </w:r>
      <w:r w:rsidR="00B816A5">
        <w:rPr>
          <w:b/>
          <w:bCs/>
        </w:rPr>
        <w:t xml:space="preserve"> and supports</w:t>
      </w:r>
      <w:r w:rsidR="007E2F56">
        <w:rPr>
          <w:b/>
          <w:bCs/>
        </w:rPr>
        <w:t xml:space="preserve"> </w:t>
      </w:r>
      <w:r w:rsidR="009926A9">
        <w:rPr>
          <w:b/>
          <w:bCs/>
        </w:rPr>
        <w:t>as soon as possible to avoid undermining their ongoing success</w:t>
      </w:r>
      <w:r w:rsidR="00C33A96">
        <w:rPr>
          <w:b/>
          <w:bCs/>
        </w:rPr>
        <w:t xml:space="preserve"> or leaving people without the support they rely on</w:t>
      </w:r>
      <w:r w:rsidR="009926A9">
        <w:rPr>
          <w:b/>
          <w:bCs/>
        </w:rPr>
        <w:t>.</w:t>
      </w:r>
    </w:p>
    <w:p w14:paraId="4D035D67" w14:textId="09F9C2B4" w:rsidR="004B673C" w:rsidRDefault="004B673C" w:rsidP="00F56CB4">
      <w:pPr>
        <w:spacing w:after="160"/>
        <w:rPr>
          <w:b/>
          <w:bCs/>
        </w:rPr>
      </w:pPr>
      <w:r w:rsidRPr="005B3BDC">
        <w:rPr>
          <w:rStyle w:val="Heading4Char"/>
        </w:rPr>
        <w:lastRenderedPageBreak/>
        <w:t>Recommendation 1</w:t>
      </w:r>
      <w:r>
        <w:rPr>
          <w:rStyle w:val="Heading4Char"/>
        </w:rPr>
        <w:t>2</w:t>
      </w:r>
      <w:r w:rsidRPr="005B3BDC">
        <w:rPr>
          <w:rStyle w:val="Heading4Char"/>
        </w:rPr>
        <w:t>:</w:t>
      </w:r>
      <w:r>
        <w:rPr>
          <w:b/>
          <w:bCs/>
          <w:color w:val="7030A0"/>
        </w:rPr>
        <w:t xml:space="preserve"> </w:t>
      </w:r>
      <w:r w:rsidRPr="00125104">
        <w:rPr>
          <w:b/>
          <w:bCs/>
        </w:rPr>
        <w:t xml:space="preserve">The </w:t>
      </w:r>
      <w:r>
        <w:rPr>
          <w:b/>
          <w:bCs/>
        </w:rPr>
        <w:t>Australian Government</w:t>
      </w:r>
      <w:r w:rsidRPr="00125104">
        <w:rPr>
          <w:b/>
          <w:bCs/>
        </w:rPr>
        <w:t xml:space="preserve"> </w:t>
      </w:r>
      <w:r>
        <w:rPr>
          <w:b/>
          <w:bCs/>
        </w:rPr>
        <w:t xml:space="preserve">should include a transparent transition plan </w:t>
      </w:r>
      <w:r w:rsidR="006B41B3">
        <w:rPr>
          <w:b/>
          <w:bCs/>
        </w:rPr>
        <w:t>for existing pro</w:t>
      </w:r>
      <w:r w:rsidR="00E3135A">
        <w:rPr>
          <w:b/>
          <w:bCs/>
        </w:rPr>
        <w:t>jects</w:t>
      </w:r>
      <w:r w:rsidR="006B41B3">
        <w:rPr>
          <w:b/>
          <w:bCs/>
        </w:rPr>
        <w:t xml:space="preserve"> and supports </w:t>
      </w:r>
      <w:r w:rsidR="00773A85">
        <w:rPr>
          <w:b/>
          <w:bCs/>
        </w:rPr>
        <w:t>within the Foundational Supports Strategy. It should clear</w:t>
      </w:r>
      <w:r w:rsidR="00E431AE">
        <w:rPr>
          <w:b/>
          <w:bCs/>
        </w:rPr>
        <w:t>ly identify which pro</w:t>
      </w:r>
      <w:r w:rsidR="00E3135A">
        <w:rPr>
          <w:b/>
          <w:bCs/>
        </w:rPr>
        <w:t>jects</w:t>
      </w:r>
      <w:r w:rsidR="00E431AE">
        <w:rPr>
          <w:b/>
          <w:bCs/>
        </w:rPr>
        <w:t xml:space="preserve"> and supports will transfer and ensure the replacement arrangements are </w:t>
      </w:r>
      <w:r w:rsidR="00FA0472">
        <w:rPr>
          <w:b/>
          <w:bCs/>
        </w:rPr>
        <w:t xml:space="preserve">established before existing programs are curtailed </w:t>
      </w:r>
      <w:proofErr w:type="gramStart"/>
      <w:r w:rsidR="003D6F2C">
        <w:rPr>
          <w:b/>
          <w:bCs/>
        </w:rPr>
        <w:t xml:space="preserve">in order </w:t>
      </w:r>
      <w:r w:rsidR="00FA0472">
        <w:rPr>
          <w:b/>
          <w:bCs/>
        </w:rPr>
        <w:t>to</w:t>
      </w:r>
      <w:proofErr w:type="gramEnd"/>
      <w:r w:rsidR="00FA0472">
        <w:rPr>
          <w:b/>
          <w:bCs/>
        </w:rPr>
        <w:t xml:space="preserve"> </w:t>
      </w:r>
      <w:r w:rsidR="00917C17">
        <w:rPr>
          <w:b/>
          <w:bCs/>
        </w:rPr>
        <w:t>provide</w:t>
      </w:r>
      <w:r w:rsidR="00FA0472">
        <w:rPr>
          <w:b/>
          <w:bCs/>
        </w:rPr>
        <w:t xml:space="preserve"> continuity of support for </w:t>
      </w:r>
      <w:r w:rsidR="00E3135A">
        <w:rPr>
          <w:b/>
          <w:bCs/>
        </w:rPr>
        <w:t xml:space="preserve">the </w:t>
      </w:r>
      <w:r w:rsidR="00FA0472">
        <w:rPr>
          <w:b/>
          <w:bCs/>
        </w:rPr>
        <w:t>people with disability accessing them, as well as to prevent any loss of momentum within the pro</w:t>
      </w:r>
      <w:r w:rsidR="00E3135A">
        <w:rPr>
          <w:b/>
          <w:bCs/>
        </w:rPr>
        <w:t>jects</w:t>
      </w:r>
      <w:r w:rsidR="00FA0472">
        <w:rPr>
          <w:b/>
          <w:bCs/>
        </w:rPr>
        <w:t xml:space="preserve"> themselves. </w:t>
      </w:r>
    </w:p>
    <w:bookmarkEnd w:id="30"/>
    <w:p w14:paraId="6965E49F" w14:textId="24D63759" w:rsidR="009838FE" w:rsidRDefault="009838FE" w:rsidP="00F56CB4">
      <w:pPr>
        <w:spacing w:after="160"/>
        <w:rPr>
          <w:b/>
          <w:bCs/>
        </w:rPr>
      </w:pPr>
    </w:p>
    <w:p w14:paraId="47A86E9C" w14:textId="50192D47" w:rsidR="000A5515" w:rsidRDefault="000A5515" w:rsidP="00F56CB4">
      <w:pPr>
        <w:spacing w:after="160"/>
      </w:pPr>
      <w:r>
        <w:rPr>
          <w:b/>
          <w:bCs/>
        </w:rPr>
        <w:t xml:space="preserve"> </w:t>
      </w:r>
    </w:p>
    <w:p w14:paraId="6FD3A2F5" w14:textId="77777777" w:rsidR="009838FE" w:rsidRDefault="009838FE" w:rsidP="00F56CB4">
      <w:pPr>
        <w:spacing w:after="160"/>
        <w:rPr>
          <w:rFonts w:cstheme="minorHAnsi"/>
          <w:b/>
          <w:color w:val="522E91"/>
          <w:sz w:val="32"/>
          <w:szCs w:val="32"/>
        </w:rPr>
      </w:pPr>
      <w:r>
        <w:br w:type="page"/>
      </w:r>
    </w:p>
    <w:p w14:paraId="2CED5412" w14:textId="1BADA65B" w:rsidR="005C1237" w:rsidRDefault="007162AD" w:rsidP="003E2EB9">
      <w:pPr>
        <w:pStyle w:val="Heading1"/>
        <w:spacing w:after="160" w:line="360" w:lineRule="auto"/>
      </w:pPr>
      <w:bookmarkStart w:id="31" w:name="_Toc184414884"/>
      <w:r>
        <w:lastRenderedPageBreak/>
        <w:t>Peer support</w:t>
      </w:r>
      <w:bookmarkEnd w:id="31"/>
    </w:p>
    <w:p w14:paraId="089151B9" w14:textId="6F7C7573" w:rsidR="00BD07F1" w:rsidRDefault="00CC4B7F" w:rsidP="003E2EB9">
      <w:pPr>
        <w:spacing w:after="160"/>
      </w:pPr>
      <w:r>
        <w:t xml:space="preserve">We have long advocated </w:t>
      </w:r>
      <w:r w:rsidR="00CF35A8">
        <w:t>about</w:t>
      </w:r>
      <w:r>
        <w:t xml:space="preserve"> the merits </w:t>
      </w:r>
      <w:r w:rsidRPr="00CC4B7F">
        <w:t>of ‘peer networks’, where people with disability are able to connect with each other, to make sense of information, to offer mutual support, and to learn from each other. Peer networks often result in their members being better-informed and developing</w:t>
      </w:r>
      <w:r w:rsidR="000E5348">
        <w:t xml:space="preserve"> </w:t>
      </w:r>
      <w:r w:rsidR="00631DA2" w:rsidRPr="00631DA2">
        <w:t>stronger ideas about their life chances</w:t>
      </w:r>
      <w:r w:rsidR="00540703">
        <w:t xml:space="preserve"> and</w:t>
      </w:r>
      <w:r w:rsidR="00631DA2" w:rsidRPr="00631DA2">
        <w:t xml:space="preserve"> their </w:t>
      </w:r>
      <w:r w:rsidR="00B63646">
        <w:t>goals</w:t>
      </w:r>
      <w:r w:rsidR="00631DA2">
        <w:t>.</w:t>
      </w:r>
      <w:r w:rsidR="0089329B">
        <w:t xml:space="preserve"> While the </w:t>
      </w:r>
      <w:r w:rsidR="00B80CED">
        <w:t xml:space="preserve">NDIS Review </w:t>
      </w:r>
      <w:r w:rsidR="00B63646">
        <w:t xml:space="preserve">described </w:t>
      </w:r>
      <w:r w:rsidR="00B80CED">
        <w:t xml:space="preserve">how </w:t>
      </w:r>
      <w:r w:rsidR="00F00469">
        <w:t xml:space="preserve">peer networks can facilitate </w:t>
      </w:r>
      <w:r w:rsidR="00B63646">
        <w:t>‘</w:t>
      </w:r>
      <w:r w:rsidR="00F00469" w:rsidRPr="0055373E">
        <w:t>social and economic independence, resilience and support</w:t>
      </w:r>
      <w:r w:rsidR="00B63646">
        <w:t>’</w:t>
      </w:r>
      <w:r w:rsidR="00F00469">
        <w:rPr>
          <w:rStyle w:val="FootnoteReference"/>
        </w:rPr>
        <w:footnoteReference w:id="27"/>
      </w:r>
      <w:r w:rsidR="000B525F">
        <w:t xml:space="preserve">, we believe the </w:t>
      </w:r>
      <w:r w:rsidR="0014562E">
        <w:t xml:space="preserve">DSS should have paid further recognition to these valuable supports in the </w:t>
      </w:r>
      <w:r w:rsidR="00CD17C5">
        <w:t xml:space="preserve">consultation paper. </w:t>
      </w:r>
      <w:r w:rsidR="00E515F8" w:rsidRPr="00E515F8">
        <w:t xml:space="preserve">Importantly, peer networks can include information and discussion about community resources and opportunities, increasing the chances people then take steps to access those resources and opportunities. This includes </w:t>
      </w:r>
      <w:r w:rsidR="001657B0">
        <w:rPr>
          <w:b/>
          <w:bCs/>
        </w:rPr>
        <w:t>peer group</w:t>
      </w:r>
      <w:r w:rsidR="00E515F8" w:rsidRPr="00E515F8">
        <w:rPr>
          <w:b/>
          <w:bCs/>
        </w:rPr>
        <w:t xml:space="preserve"> advocacy </w:t>
      </w:r>
      <w:r w:rsidR="00E515F8" w:rsidRPr="00E515F8">
        <w:t xml:space="preserve">if those resources </w:t>
      </w:r>
      <w:r w:rsidR="001657B0">
        <w:t>or</w:t>
      </w:r>
      <w:r w:rsidR="00E515F8" w:rsidRPr="00E515F8">
        <w:t xml:space="preserve"> opportunities have issues adversely affecting accessibility and welcome. </w:t>
      </w:r>
    </w:p>
    <w:p w14:paraId="4FC2A1A2" w14:textId="207F5883" w:rsidR="00A20AC0" w:rsidRDefault="00BD07F1" w:rsidP="003E2EB9">
      <w:pPr>
        <w:spacing w:after="160"/>
      </w:pPr>
      <w:r w:rsidRPr="00BD07F1">
        <w:t xml:space="preserve">Investing in the work of disability community organisations can also play a significant role in </w:t>
      </w:r>
      <w:r w:rsidRPr="00BD07F1">
        <w:rPr>
          <w:b/>
          <w:bCs/>
        </w:rPr>
        <w:t>increasing the chances of transformational benefits being realised</w:t>
      </w:r>
      <w:r w:rsidRPr="00BD07F1">
        <w:t xml:space="preserve">. Indeed, the Productivity Commission’s 2011 report envisaged </w:t>
      </w:r>
      <w:r w:rsidR="00CD6098">
        <w:t xml:space="preserve">that </w:t>
      </w:r>
      <w:r w:rsidRPr="00BD07F1">
        <w:t xml:space="preserve">what it referred to as </w:t>
      </w:r>
      <w:r w:rsidR="00CD6098">
        <w:t>‘</w:t>
      </w:r>
      <w:r w:rsidRPr="00BD07F1">
        <w:t>disability support organisations (DSOs)</w:t>
      </w:r>
      <w:r w:rsidR="00CD6098">
        <w:t>’</w:t>
      </w:r>
      <w:r w:rsidRPr="00BD07F1">
        <w:t xml:space="preserve"> (not to be confused with direct service providers) would </w:t>
      </w:r>
      <w:r w:rsidR="00EF6935">
        <w:t>‘</w:t>
      </w:r>
      <w:r w:rsidRPr="00BD07F1">
        <w:t>facilitate greater innovation in the provision and coordination of services to people with disabilities.</w:t>
      </w:r>
      <w:r w:rsidR="00EF6935">
        <w:t>’</w:t>
      </w:r>
      <w:r>
        <w:rPr>
          <w:rStyle w:val="FootnoteReference"/>
        </w:rPr>
        <w:footnoteReference w:id="28"/>
      </w:r>
      <w:r w:rsidRPr="00BD07F1">
        <w:t xml:space="preserve"> Our agency’s research</w:t>
      </w:r>
      <w:r w:rsidR="00E774EF">
        <w:rPr>
          <w:rStyle w:val="FootnoteReference"/>
        </w:rPr>
        <w:footnoteReference w:id="29"/>
      </w:r>
      <w:r w:rsidRPr="00BD07F1">
        <w:t xml:space="preserve"> and experience over many years has also confirmed the importance of these organisations in the provision of information, facilitation of links to community supports and mainstream services, and building the capacity and confidence of Scheme participants, people with disability, families and allies, and communities in realising transformation</w:t>
      </w:r>
      <w:r w:rsidR="005909C9">
        <w:t>al</w:t>
      </w:r>
      <w:r w:rsidRPr="00BD07F1">
        <w:t xml:space="preserve"> change.</w:t>
      </w:r>
    </w:p>
    <w:p w14:paraId="769C0617" w14:textId="6EE3EE93" w:rsidR="005909C9" w:rsidRDefault="005909C9" w:rsidP="003E2EB9">
      <w:pPr>
        <w:spacing w:after="160"/>
      </w:pPr>
      <w:r>
        <w:t>In this section</w:t>
      </w:r>
      <w:r w:rsidR="009161A5">
        <w:t>,</w:t>
      </w:r>
      <w:r>
        <w:t xml:space="preserve"> we focus on </w:t>
      </w:r>
      <w:r w:rsidR="002D691C">
        <w:t xml:space="preserve">the importance of peer networks, what already exists that needs to be maintained, and what else is needed. </w:t>
      </w:r>
      <w:r w:rsidR="00E52900">
        <w:t xml:space="preserve">To reinforce the points made in the previous </w:t>
      </w:r>
      <w:r w:rsidR="00E52900">
        <w:lastRenderedPageBreak/>
        <w:t xml:space="preserve">section, consistent and secure funding </w:t>
      </w:r>
      <w:r w:rsidR="004E7635">
        <w:t xml:space="preserve">is an essential element of ensuing the success of peer </w:t>
      </w:r>
      <w:r w:rsidR="007A6AD3">
        <w:t>support</w:t>
      </w:r>
      <w:r w:rsidR="004E7635">
        <w:t xml:space="preserve"> and </w:t>
      </w:r>
      <w:r w:rsidR="001B1125">
        <w:t xml:space="preserve">this should be provided through the Foundational Supports program. Peer networks are an extremely cost-effective </w:t>
      </w:r>
      <w:r w:rsidR="00F45EF1">
        <w:t xml:space="preserve">way </w:t>
      </w:r>
      <w:r w:rsidR="003E2EB9">
        <w:t>of connecting people to information, resources, and support</w:t>
      </w:r>
      <w:r w:rsidR="006C56B5">
        <w:t xml:space="preserve">, as well as a </w:t>
      </w:r>
      <w:r w:rsidR="009C237A">
        <w:t>natural safeguard</w:t>
      </w:r>
      <w:r w:rsidR="003E2EB9">
        <w:t xml:space="preserve">. </w:t>
      </w:r>
    </w:p>
    <w:p w14:paraId="5C604C65" w14:textId="77777777" w:rsidR="00A20AC0" w:rsidRDefault="00A20AC0" w:rsidP="003E2EB9">
      <w:pPr>
        <w:spacing w:after="160"/>
      </w:pPr>
    </w:p>
    <w:p w14:paraId="6482F1D6" w14:textId="73475DCF" w:rsidR="005C1237" w:rsidRDefault="007162AD" w:rsidP="003E2EB9">
      <w:pPr>
        <w:pStyle w:val="Heading2"/>
        <w:spacing w:after="160" w:line="360" w:lineRule="auto"/>
      </w:pPr>
      <w:bookmarkStart w:id="32" w:name="_Toc184414885"/>
      <w:r>
        <w:t>Existing peer supports</w:t>
      </w:r>
      <w:bookmarkEnd w:id="32"/>
    </w:p>
    <w:p w14:paraId="4E811421" w14:textId="5E602A5C" w:rsidR="007162AD" w:rsidRDefault="005D3E70" w:rsidP="003E2EB9">
      <w:pPr>
        <w:spacing w:after="160"/>
      </w:pPr>
      <w:r>
        <w:t>P</w:t>
      </w:r>
      <w:r w:rsidR="002A1C30" w:rsidRPr="002A1C30">
        <w:t xml:space="preserve">eer networks and similar initiatives support people to build belief about what is possible and to understand the potency of their own personal agency in achieving change. This is true for people with disability and for non-disabled people. For example, such networks are valuable conduits for people to access and discuss information about options and their impact, </w:t>
      </w:r>
      <w:r>
        <w:t>such as</w:t>
      </w:r>
      <w:r w:rsidR="002A1C30" w:rsidRPr="002A1C30">
        <w:t xml:space="preserve"> a network of parents exploring the merits of inclusive education compared to </w:t>
      </w:r>
      <w:r w:rsidR="00FC683B">
        <w:t>‘</w:t>
      </w:r>
      <w:r w:rsidR="002A1C30" w:rsidRPr="002A1C30">
        <w:t>special</w:t>
      </w:r>
      <w:r w:rsidR="00FC683B">
        <w:t>’</w:t>
      </w:r>
      <w:r w:rsidR="002A1C30" w:rsidRPr="002A1C30">
        <w:t xml:space="preserve"> education</w:t>
      </w:r>
      <w:r w:rsidR="006F0387">
        <w:t>.</w:t>
      </w:r>
      <w:r w:rsidR="002A1C30" w:rsidRPr="002A1C30">
        <w:t xml:space="preserve"> For </w:t>
      </w:r>
      <w:r w:rsidR="00FC683B">
        <w:t>further</w:t>
      </w:r>
      <w:r w:rsidR="002A1C30" w:rsidRPr="002A1C30">
        <w:t xml:space="preserve"> example, peer networks and other communities</w:t>
      </w:r>
      <w:r w:rsidR="00846CB3">
        <w:t xml:space="preserve"> </w:t>
      </w:r>
      <w:r w:rsidR="002A1C30" w:rsidRPr="002A1C30">
        <w:t>of</w:t>
      </w:r>
      <w:r w:rsidR="00846CB3">
        <w:t xml:space="preserve"> </w:t>
      </w:r>
      <w:r w:rsidR="002A1C30" w:rsidRPr="002A1C30">
        <w:t>interest or communities</w:t>
      </w:r>
      <w:r w:rsidR="00846CB3">
        <w:t xml:space="preserve"> </w:t>
      </w:r>
      <w:r w:rsidR="002A1C30" w:rsidRPr="002A1C30">
        <w:t>of</w:t>
      </w:r>
      <w:r w:rsidR="00846CB3">
        <w:t xml:space="preserve"> </w:t>
      </w:r>
      <w:r w:rsidR="002A1C30" w:rsidRPr="002A1C30">
        <w:t>practice provide essential social and practical supports as people enact their decisions. We have seen this in networks of families exploring alternatives to group houses for their adult sons and daughters with disability.</w:t>
      </w:r>
    </w:p>
    <w:p w14:paraId="443C615D" w14:textId="5DAF9D49" w:rsidR="007413A5" w:rsidRPr="006A4EF1" w:rsidRDefault="00D52B37" w:rsidP="00F56CB4">
      <w:pPr>
        <w:spacing w:after="160"/>
        <w:rPr>
          <w:rFonts w:cstheme="minorHAnsi"/>
        </w:rPr>
      </w:pPr>
      <w:r>
        <w:t>I</w:t>
      </w:r>
      <w:r w:rsidR="00230894">
        <w:t xml:space="preserve">n preparing this submission, we spoke with our </w:t>
      </w:r>
      <w:r w:rsidR="00C70280">
        <w:t xml:space="preserve">ILC-funded </w:t>
      </w:r>
      <w:r w:rsidR="00740C68">
        <w:t xml:space="preserve">peer network connectors </w:t>
      </w:r>
      <w:r w:rsidR="007E5E7E">
        <w:t xml:space="preserve">who work </w:t>
      </w:r>
      <w:r w:rsidR="0083753F">
        <w:t>with</w:t>
      </w:r>
      <w:r w:rsidR="007E5E7E">
        <w:t xml:space="preserve"> regional and CALD communities</w:t>
      </w:r>
      <w:r w:rsidR="001869B6">
        <w:t xml:space="preserve"> about what is currently working under existing programs, and what can be improved. </w:t>
      </w:r>
      <w:r w:rsidR="007F4D52">
        <w:t>The connectors identified the following benefits</w:t>
      </w:r>
      <w:r w:rsidR="008E7B66">
        <w:t xml:space="preserve"> of peer networks</w:t>
      </w:r>
      <w:r w:rsidR="00245F8E">
        <w:t xml:space="preserve">, which were </w:t>
      </w:r>
      <w:r w:rsidR="005C414A">
        <w:t>common across both regional and CALD experiences</w:t>
      </w:r>
      <w:r w:rsidR="007F4D52">
        <w:t xml:space="preserve">: </w:t>
      </w:r>
    </w:p>
    <w:p w14:paraId="70675AA1" w14:textId="5DA8A562" w:rsidR="0022339F" w:rsidRPr="006A4EF1" w:rsidRDefault="0022339F" w:rsidP="00B95BDD">
      <w:pPr>
        <w:numPr>
          <w:ilvl w:val="0"/>
          <w:numId w:val="13"/>
        </w:numPr>
        <w:spacing w:after="160"/>
        <w:rPr>
          <w:rFonts w:cstheme="minorHAnsi"/>
        </w:rPr>
      </w:pPr>
      <w:r w:rsidRPr="006A4EF1">
        <w:rPr>
          <w:rFonts w:cstheme="minorHAnsi"/>
          <w:b/>
          <w:bCs/>
        </w:rPr>
        <w:t xml:space="preserve">Community </w:t>
      </w:r>
      <w:r w:rsidR="00B10F48">
        <w:rPr>
          <w:rFonts w:cstheme="minorHAnsi"/>
          <w:b/>
          <w:bCs/>
        </w:rPr>
        <w:t>c</w:t>
      </w:r>
      <w:r w:rsidRPr="006A4EF1">
        <w:rPr>
          <w:rFonts w:cstheme="minorHAnsi"/>
          <w:b/>
          <w:bCs/>
        </w:rPr>
        <w:t>onnection</w:t>
      </w:r>
      <w:r w:rsidRPr="006A4EF1">
        <w:rPr>
          <w:rFonts w:cstheme="minorHAnsi"/>
        </w:rPr>
        <w:t>: Peer networks provide a sense of belonging and connection, which can have positive effects on mental health and well-being.</w:t>
      </w:r>
    </w:p>
    <w:p w14:paraId="480CD8D6" w14:textId="2E0932F0" w:rsidR="0022339F" w:rsidRPr="006A4EF1" w:rsidRDefault="0022339F" w:rsidP="00B95BDD">
      <w:pPr>
        <w:numPr>
          <w:ilvl w:val="0"/>
          <w:numId w:val="13"/>
        </w:numPr>
        <w:spacing w:after="160"/>
        <w:rPr>
          <w:rFonts w:cstheme="minorHAnsi"/>
        </w:rPr>
      </w:pPr>
      <w:r w:rsidRPr="006A4EF1">
        <w:rPr>
          <w:rFonts w:cstheme="minorHAnsi"/>
          <w:b/>
          <w:bCs/>
        </w:rPr>
        <w:t xml:space="preserve">Education and </w:t>
      </w:r>
      <w:r w:rsidR="00B10F48">
        <w:rPr>
          <w:rFonts w:cstheme="minorHAnsi"/>
          <w:b/>
          <w:bCs/>
        </w:rPr>
        <w:t>a</w:t>
      </w:r>
      <w:r w:rsidRPr="006A4EF1">
        <w:rPr>
          <w:rFonts w:cstheme="minorHAnsi"/>
          <w:b/>
          <w:bCs/>
        </w:rPr>
        <w:t>dvocacy</w:t>
      </w:r>
      <w:r w:rsidRPr="006A4EF1">
        <w:rPr>
          <w:rFonts w:cstheme="minorHAnsi"/>
        </w:rPr>
        <w:t>: They offer education about self-advocacy and help individuals learn from each other, solve problems, and find local support</w:t>
      </w:r>
      <w:r w:rsidR="0083753F">
        <w:rPr>
          <w:rFonts w:cstheme="minorHAnsi"/>
        </w:rPr>
        <w:t>s</w:t>
      </w:r>
      <w:r w:rsidRPr="006A4EF1">
        <w:rPr>
          <w:rFonts w:cstheme="minorHAnsi"/>
        </w:rPr>
        <w:t>.</w:t>
      </w:r>
    </w:p>
    <w:p w14:paraId="2FE75772" w14:textId="35077112" w:rsidR="0022339F" w:rsidRPr="006A4EF1" w:rsidRDefault="0022339F" w:rsidP="00B95BDD">
      <w:pPr>
        <w:numPr>
          <w:ilvl w:val="0"/>
          <w:numId w:val="13"/>
        </w:numPr>
        <w:spacing w:after="160"/>
        <w:rPr>
          <w:rFonts w:cstheme="minorHAnsi"/>
        </w:rPr>
      </w:pPr>
      <w:r w:rsidRPr="006A4EF1">
        <w:rPr>
          <w:rFonts w:cstheme="minorHAnsi"/>
          <w:b/>
          <w:bCs/>
        </w:rPr>
        <w:t xml:space="preserve">Shared </w:t>
      </w:r>
      <w:r w:rsidR="00D242B5">
        <w:rPr>
          <w:rFonts w:cstheme="minorHAnsi"/>
          <w:b/>
          <w:bCs/>
        </w:rPr>
        <w:t>e</w:t>
      </w:r>
      <w:r w:rsidRPr="006A4EF1">
        <w:rPr>
          <w:rFonts w:cstheme="minorHAnsi"/>
          <w:b/>
          <w:bCs/>
        </w:rPr>
        <w:t>xperiences</w:t>
      </w:r>
      <w:r w:rsidRPr="006A4EF1">
        <w:rPr>
          <w:rFonts w:cstheme="minorHAnsi"/>
        </w:rPr>
        <w:t>: Members can share their experiences, build each other up, and provide a collective voice to express their views.</w:t>
      </w:r>
      <w:r w:rsidR="005F6A36">
        <w:rPr>
          <w:rFonts w:cstheme="minorHAnsi"/>
        </w:rPr>
        <w:t xml:space="preserve"> As a result, people feel less alone.</w:t>
      </w:r>
    </w:p>
    <w:p w14:paraId="591271C0" w14:textId="7989800D" w:rsidR="0022339F" w:rsidRPr="006A4EF1" w:rsidRDefault="0022339F" w:rsidP="00B95BDD">
      <w:pPr>
        <w:numPr>
          <w:ilvl w:val="0"/>
          <w:numId w:val="13"/>
        </w:numPr>
        <w:spacing w:after="160"/>
        <w:rPr>
          <w:rFonts w:cstheme="minorHAnsi"/>
        </w:rPr>
      </w:pPr>
      <w:r w:rsidRPr="006A4EF1">
        <w:rPr>
          <w:rFonts w:cstheme="minorHAnsi"/>
          <w:b/>
          <w:bCs/>
        </w:rPr>
        <w:t xml:space="preserve">Access to </w:t>
      </w:r>
      <w:r w:rsidR="00D947F3">
        <w:rPr>
          <w:rFonts w:cstheme="minorHAnsi"/>
          <w:b/>
          <w:bCs/>
        </w:rPr>
        <w:t>i</w:t>
      </w:r>
      <w:r w:rsidRPr="006A4EF1">
        <w:rPr>
          <w:rFonts w:cstheme="minorHAnsi"/>
          <w:b/>
          <w:bCs/>
        </w:rPr>
        <w:t xml:space="preserve">nformation and </w:t>
      </w:r>
      <w:r w:rsidR="00D947F3">
        <w:rPr>
          <w:rFonts w:cstheme="minorHAnsi"/>
          <w:b/>
          <w:bCs/>
        </w:rPr>
        <w:t>o</w:t>
      </w:r>
      <w:r w:rsidRPr="006A4EF1">
        <w:rPr>
          <w:rFonts w:cstheme="minorHAnsi"/>
          <w:b/>
          <w:bCs/>
        </w:rPr>
        <w:t>pportunities</w:t>
      </w:r>
      <w:r w:rsidRPr="006A4EF1">
        <w:rPr>
          <w:rFonts w:cstheme="minorHAnsi"/>
        </w:rPr>
        <w:t xml:space="preserve">: Peer networks bring information to others, share opportunities </w:t>
      </w:r>
      <w:r w:rsidR="00A30C49">
        <w:rPr>
          <w:rFonts w:cstheme="minorHAnsi"/>
        </w:rPr>
        <w:t>available</w:t>
      </w:r>
      <w:r w:rsidR="005F6A36">
        <w:rPr>
          <w:rFonts w:cstheme="minorHAnsi"/>
        </w:rPr>
        <w:t>,</w:t>
      </w:r>
      <w:r w:rsidR="00A30C49">
        <w:rPr>
          <w:rFonts w:cstheme="minorHAnsi"/>
        </w:rPr>
        <w:t xml:space="preserve"> </w:t>
      </w:r>
      <w:r w:rsidRPr="006A4EF1">
        <w:rPr>
          <w:rFonts w:cstheme="minorHAnsi"/>
        </w:rPr>
        <w:t>such as employment, and help members access services.</w:t>
      </w:r>
    </w:p>
    <w:p w14:paraId="33A2BB93" w14:textId="05CB9F2F" w:rsidR="0022339F" w:rsidRPr="006A4EF1" w:rsidRDefault="0022339F" w:rsidP="00B95BDD">
      <w:pPr>
        <w:numPr>
          <w:ilvl w:val="0"/>
          <w:numId w:val="13"/>
        </w:numPr>
        <w:spacing w:after="160"/>
        <w:rPr>
          <w:rFonts w:cstheme="minorHAnsi"/>
        </w:rPr>
      </w:pPr>
      <w:r w:rsidRPr="006A4EF1">
        <w:rPr>
          <w:rFonts w:cstheme="minorHAnsi"/>
          <w:b/>
          <w:bCs/>
        </w:rPr>
        <w:lastRenderedPageBreak/>
        <w:t xml:space="preserve">Safe </w:t>
      </w:r>
      <w:r w:rsidR="00A30C49">
        <w:rPr>
          <w:rFonts w:cstheme="minorHAnsi"/>
          <w:b/>
          <w:bCs/>
        </w:rPr>
        <w:t>s</w:t>
      </w:r>
      <w:r w:rsidRPr="006A4EF1">
        <w:rPr>
          <w:rFonts w:cstheme="minorHAnsi"/>
          <w:b/>
          <w:bCs/>
        </w:rPr>
        <w:t>pace</w:t>
      </w:r>
      <w:r w:rsidRPr="006A4EF1">
        <w:rPr>
          <w:rFonts w:cstheme="minorHAnsi"/>
        </w:rPr>
        <w:t>: They offer a safe space where individuals feel heard and supported.</w:t>
      </w:r>
    </w:p>
    <w:p w14:paraId="0502D4AB" w14:textId="49CE160E" w:rsidR="0022339F" w:rsidRPr="006A4EF1" w:rsidRDefault="0022339F" w:rsidP="00B95BDD">
      <w:pPr>
        <w:numPr>
          <w:ilvl w:val="0"/>
          <w:numId w:val="13"/>
        </w:numPr>
        <w:spacing w:after="160"/>
        <w:rPr>
          <w:rFonts w:cstheme="minorHAnsi"/>
        </w:rPr>
      </w:pPr>
      <w:r w:rsidRPr="006A4EF1">
        <w:rPr>
          <w:rFonts w:cstheme="minorHAnsi"/>
          <w:b/>
          <w:bCs/>
        </w:rPr>
        <w:t xml:space="preserve">Support for </w:t>
      </w:r>
      <w:r w:rsidR="00A30C49">
        <w:rPr>
          <w:rFonts w:cstheme="minorHAnsi"/>
          <w:b/>
          <w:bCs/>
        </w:rPr>
        <w:t>f</w:t>
      </w:r>
      <w:r w:rsidRPr="006A4EF1">
        <w:rPr>
          <w:rFonts w:cstheme="minorHAnsi"/>
          <w:b/>
          <w:bCs/>
        </w:rPr>
        <w:t>amilies</w:t>
      </w:r>
      <w:r w:rsidRPr="006A4EF1">
        <w:rPr>
          <w:rFonts w:cstheme="minorHAnsi"/>
        </w:rPr>
        <w:t xml:space="preserve">: Peer networks can help keep kids in school by </w:t>
      </w:r>
      <w:r w:rsidR="00245F8E">
        <w:rPr>
          <w:rFonts w:cstheme="minorHAnsi"/>
        </w:rPr>
        <w:t xml:space="preserve">parents </w:t>
      </w:r>
      <w:r w:rsidRPr="006A4EF1">
        <w:rPr>
          <w:rFonts w:cstheme="minorHAnsi"/>
        </w:rPr>
        <w:t>supporting each other to advocate for their needs.</w:t>
      </w:r>
    </w:p>
    <w:p w14:paraId="58A54490" w14:textId="282FFD3D" w:rsidR="0022339F" w:rsidRPr="006A4EF1" w:rsidRDefault="0022339F" w:rsidP="00B95BDD">
      <w:pPr>
        <w:numPr>
          <w:ilvl w:val="0"/>
          <w:numId w:val="13"/>
        </w:numPr>
        <w:spacing w:after="160"/>
        <w:rPr>
          <w:rFonts w:cstheme="minorHAnsi"/>
        </w:rPr>
      </w:pPr>
      <w:r w:rsidRPr="006A4EF1">
        <w:rPr>
          <w:rFonts w:cstheme="minorHAnsi"/>
          <w:b/>
          <w:bCs/>
        </w:rPr>
        <w:t xml:space="preserve">Cultural </w:t>
      </w:r>
      <w:r w:rsidR="00A30C49">
        <w:rPr>
          <w:rFonts w:cstheme="minorHAnsi"/>
          <w:b/>
          <w:bCs/>
        </w:rPr>
        <w:t>u</w:t>
      </w:r>
      <w:r w:rsidRPr="006A4EF1">
        <w:rPr>
          <w:rFonts w:cstheme="minorHAnsi"/>
          <w:b/>
          <w:bCs/>
        </w:rPr>
        <w:t>nderstanding</w:t>
      </w:r>
      <w:r w:rsidRPr="006A4EF1">
        <w:rPr>
          <w:rFonts w:cstheme="minorHAnsi"/>
        </w:rPr>
        <w:t>: For communities with diverse cultural backgrounds, peer networks provide culturally acceptable support and information</w:t>
      </w:r>
      <w:r w:rsidR="0060492A">
        <w:rPr>
          <w:rFonts w:cstheme="minorHAnsi"/>
        </w:rPr>
        <w:t>.</w:t>
      </w:r>
    </w:p>
    <w:p w14:paraId="67D0D592" w14:textId="5F405A09" w:rsidR="00087420" w:rsidRPr="006A4EF1" w:rsidRDefault="00087420" w:rsidP="00F56CB4">
      <w:pPr>
        <w:spacing w:after="160"/>
        <w:rPr>
          <w:rFonts w:cstheme="minorHAnsi"/>
        </w:rPr>
      </w:pPr>
      <w:r w:rsidRPr="006A4EF1">
        <w:rPr>
          <w:rFonts w:cstheme="minorHAnsi"/>
        </w:rPr>
        <w:t xml:space="preserve">Our peer connectors gave powerful, tangible examples of the outcomes they had seen achieved because of the networks, including: </w:t>
      </w:r>
    </w:p>
    <w:p w14:paraId="09E9F4F5" w14:textId="00272437" w:rsidR="006A4EF1" w:rsidRPr="006A4EF1" w:rsidRDefault="006A4EF1" w:rsidP="00B95BDD">
      <w:pPr>
        <w:numPr>
          <w:ilvl w:val="0"/>
          <w:numId w:val="3"/>
        </w:numPr>
        <w:shd w:val="clear" w:color="auto" w:fill="FFFFFF"/>
        <w:spacing w:before="100" w:beforeAutospacing="1" w:after="160"/>
        <w:rPr>
          <w:rFonts w:eastAsia="Times New Roman" w:cstheme="minorHAnsi"/>
          <w:color w:val="000000"/>
          <w:lang w:eastAsia="en-AU"/>
        </w:rPr>
      </w:pPr>
      <w:r w:rsidRPr="006A4EF1">
        <w:rPr>
          <w:rFonts w:eastAsia="Times New Roman" w:cstheme="minorHAnsi"/>
          <w:b/>
          <w:bCs/>
          <w:color w:val="000000"/>
          <w:lang w:eastAsia="en-AU"/>
        </w:rPr>
        <w:t xml:space="preserve">Access to </w:t>
      </w:r>
      <w:r w:rsidR="002D1750">
        <w:rPr>
          <w:rFonts w:eastAsia="Times New Roman" w:cstheme="minorHAnsi"/>
          <w:b/>
          <w:bCs/>
          <w:color w:val="000000"/>
          <w:lang w:eastAsia="en-AU"/>
        </w:rPr>
        <w:t>s</w:t>
      </w:r>
      <w:r w:rsidRPr="006A4EF1">
        <w:rPr>
          <w:rFonts w:eastAsia="Times New Roman" w:cstheme="minorHAnsi"/>
          <w:b/>
          <w:bCs/>
          <w:color w:val="000000"/>
          <w:lang w:eastAsia="en-AU"/>
        </w:rPr>
        <w:t>ervices:</w:t>
      </w:r>
      <w:r w:rsidRPr="006A4EF1">
        <w:rPr>
          <w:rFonts w:eastAsia="Times New Roman" w:cstheme="minorHAnsi"/>
          <w:color w:val="000000"/>
          <w:lang w:eastAsia="en-AU"/>
        </w:rPr>
        <w:t xml:space="preserve"> One member of a peer network was able to access the NDIS for the first time, which allowed them to pursue their dreams and </w:t>
      </w:r>
      <w:r w:rsidR="0013201E">
        <w:rPr>
          <w:rFonts w:eastAsia="Times New Roman" w:cstheme="minorHAnsi"/>
          <w:color w:val="000000"/>
          <w:lang w:eastAsia="en-AU"/>
        </w:rPr>
        <w:t xml:space="preserve">access </w:t>
      </w:r>
      <w:r w:rsidRPr="006A4EF1">
        <w:rPr>
          <w:rFonts w:eastAsia="Times New Roman" w:cstheme="minorHAnsi"/>
          <w:color w:val="000000"/>
          <w:lang w:eastAsia="en-AU"/>
        </w:rPr>
        <w:t>opportunities they never had before.</w:t>
      </w:r>
    </w:p>
    <w:p w14:paraId="6F67106D" w14:textId="63FAAB0D" w:rsidR="006A4EF1" w:rsidRPr="006A4EF1" w:rsidRDefault="006A4EF1" w:rsidP="00B95BDD">
      <w:pPr>
        <w:numPr>
          <w:ilvl w:val="0"/>
          <w:numId w:val="3"/>
        </w:numPr>
        <w:shd w:val="clear" w:color="auto" w:fill="FFFFFF"/>
        <w:spacing w:before="100" w:beforeAutospacing="1" w:after="160"/>
        <w:rPr>
          <w:rFonts w:eastAsia="Times New Roman" w:cstheme="minorHAnsi"/>
          <w:color w:val="000000"/>
          <w:lang w:eastAsia="en-AU"/>
        </w:rPr>
      </w:pPr>
      <w:r w:rsidRPr="006A4EF1">
        <w:rPr>
          <w:rFonts w:eastAsia="Times New Roman" w:cstheme="minorHAnsi"/>
          <w:b/>
          <w:bCs/>
          <w:color w:val="000000"/>
          <w:lang w:eastAsia="en-AU"/>
        </w:rPr>
        <w:t xml:space="preserve">Raising </w:t>
      </w:r>
      <w:r w:rsidR="002D1750">
        <w:rPr>
          <w:rFonts w:eastAsia="Times New Roman" w:cstheme="minorHAnsi"/>
          <w:b/>
          <w:bCs/>
          <w:color w:val="000000"/>
          <w:lang w:eastAsia="en-AU"/>
        </w:rPr>
        <w:t>a</w:t>
      </w:r>
      <w:r w:rsidRPr="006A4EF1">
        <w:rPr>
          <w:rFonts w:eastAsia="Times New Roman" w:cstheme="minorHAnsi"/>
          <w:b/>
          <w:bCs/>
          <w:color w:val="000000"/>
          <w:lang w:eastAsia="en-AU"/>
        </w:rPr>
        <w:t>wareness:</w:t>
      </w:r>
      <w:r w:rsidRPr="006A4EF1">
        <w:rPr>
          <w:rFonts w:eastAsia="Times New Roman" w:cstheme="minorHAnsi"/>
          <w:color w:val="000000"/>
          <w:lang w:eastAsia="en-AU"/>
        </w:rPr>
        <w:t xml:space="preserve"> A member found out about the Hidden Disability Sunflower and brought </w:t>
      </w:r>
      <w:r w:rsidR="0013201E">
        <w:rPr>
          <w:rFonts w:eastAsia="Times New Roman" w:cstheme="minorHAnsi"/>
          <w:color w:val="000000"/>
          <w:lang w:eastAsia="en-AU"/>
        </w:rPr>
        <w:t>the information</w:t>
      </w:r>
      <w:r w:rsidRPr="006A4EF1">
        <w:rPr>
          <w:rFonts w:eastAsia="Times New Roman" w:cstheme="minorHAnsi"/>
          <w:color w:val="000000"/>
          <w:lang w:eastAsia="en-AU"/>
        </w:rPr>
        <w:t xml:space="preserve"> back to the</w:t>
      </w:r>
      <w:r w:rsidR="0013201E">
        <w:rPr>
          <w:rFonts w:eastAsia="Times New Roman" w:cstheme="minorHAnsi"/>
          <w:color w:val="000000"/>
          <w:lang w:eastAsia="en-AU"/>
        </w:rPr>
        <w:t>ir</w:t>
      </w:r>
      <w:r w:rsidRPr="006A4EF1">
        <w:rPr>
          <w:rFonts w:eastAsia="Times New Roman" w:cstheme="minorHAnsi"/>
          <w:color w:val="000000"/>
          <w:lang w:eastAsia="en-AU"/>
        </w:rPr>
        <w:t xml:space="preserve"> peer network, leading to a guest speaker session about it.</w:t>
      </w:r>
    </w:p>
    <w:p w14:paraId="5FEE12FE" w14:textId="151C0690" w:rsidR="006A4EF1" w:rsidRPr="006A4EF1" w:rsidRDefault="006A4EF1" w:rsidP="00B95BDD">
      <w:pPr>
        <w:numPr>
          <w:ilvl w:val="0"/>
          <w:numId w:val="3"/>
        </w:numPr>
        <w:shd w:val="clear" w:color="auto" w:fill="FFFFFF"/>
        <w:spacing w:before="100" w:beforeAutospacing="1" w:after="160"/>
        <w:rPr>
          <w:rFonts w:eastAsia="Times New Roman" w:cstheme="minorHAnsi"/>
          <w:color w:val="000000"/>
          <w:lang w:eastAsia="en-AU"/>
        </w:rPr>
      </w:pPr>
      <w:r w:rsidRPr="006A4EF1">
        <w:rPr>
          <w:rFonts w:eastAsia="Times New Roman" w:cstheme="minorHAnsi"/>
          <w:b/>
          <w:bCs/>
          <w:color w:val="000000"/>
          <w:lang w:eastAsia="en-AU"/>
        </w:rPr>
        <w:t xml:space="preserve">Increased </w:t>
      </w:r>
      <w:r w:rsidR="002D1750">
        <w:rPr>
          <w:rFonts w:eastAsia="Times New Roman" w:cstheme="minorHAnsi"/>
          <w:b/>
          <w:bCs/>
          <w:color w:val="000000"/>
          <w:lang w:eastAsia="en-AU"/>
        </w:rPr>
        <w:t>c</w:t>
      </w:r>
      <w:r w:rsidRPr="006A4EF1">
        <w:rPr>
          <w:rFonts w:eastAsia="Times New Roman" w:cstheme="minorHAnsi"/>
          <w:b/>
          <w:bCs/>
          <w:color w:val="000000"/>
          <w:lang w:eastAsia="en-AU"/>
        </w:rPr>
        <w:t>onfidence:</w:t>
      </w:r>
      <w:r w:rsidRPr="006A4EF1">
        <w:rPr>
          <w:rFonts w:eastAsia="Times New Roman" w:cstheme="minorHAnsi"/>
          <w:color w:val="000000"/>
          <w:lang w:eastAsia="en-AU"/>
        </w:rPr>
        <w:t xml:space="preserve"> Several members who started out in peer networks grew in confidence and are now employed as </w:t>
      </w:r>
      <w:r w:rsidR="00AE0A56">
        <w:rPr>
          <w:rFonts w:eastAsia="Times New Roman" w:cstheme="minorHAnsi"/>
          <w:color w:val="000000"/>
          <w:lang w:eastAsia="en-AU"/>
        </w:rPr>
        <w:t>c</w:t>
      </w:r>
      <w:r w:rsidRPr="006A4EF1">
        <w:rPr>
          <w:rFonts w:eastAsia="Times New Roman" w:cstheme="minorHAnsi"/>
          <w:color w:val="000000"/>
          <w:lang w:eastAsia="en-AU"/>
        </w:rPr>
        <w:t>onnectors, demonstrating their untapped potential.</w:t>
      </w:r>
    </w:p>
    <w:p w14:paraId="4B5B7B9B" w14:textId="6CAB971E" w:rsidR="006A4EF1" w:rsidRPr="006A4EF1" w:rsidRDefault="006A4EF1" w:rsidP="00B95BDD">
      <w:pPr>
        <w:numPr>
          <w:ilvl w:val="0"/>
          <w:numId w:val="3"/>
        </w:numPr>
        <w:shd w:val="clear" w:color="auto" w:fill="FFFFFF"/>
        <w:spacing w:before="100" w:beforeAutospacing="1" w:after="160"/>
        <w:rPr>
          <w:rFonts w:eastAsia="Times New Roman" w:cstheme="minorHAnsi"/>
          <w:color w:val="000000"/>
          <w:lang w:eastAsia="en-AU"/>
        </w:rPr>
      </w:pPr>
      <w:r w:rsidRPr="006A4EF1">
        <w:rPr>
          <w:rFonts w:eastAsia="Times New Roman" w:cstheme="minorHAnsi"/>
          <w:b/>
          <w:bCs/>
          <w:color w:val="000000"/>
          <w:lang w:eastAsia="en-AU"/>
        </w:rPr>
        <w:t xml:space="preserve">Public </w:t>
      </w:r>
      <w:r w:rsidR="002D1750">
        <w:rPr>
          <w:rFonts w:eastAsia="Times New Roman" w:cstheme="minorHAnsi"/>
          <w:b/>
          <w:bCs/>
          <w:color w:val="000000"/>
          <w:lang w:eastAsia="en-AU"/>
        </w:rPr>
        <w:t>a</w:t>
      </w:r>
      <w:r w:rsidRPr="006A4EF1">
        <w:rPr>
          <w:rFonts w:eastAsia="Times New Roman" w:cstheme="minorHAnsi"/>
          <w:b/>
          <w:bCs/>
          <w:color w:val="000000"/>
          <w:lang w:eastAsia="en-AU"/>
        </w:rPr>
        <w:t>dvocacy:</w:t>
      </w:r>
      <w:r w:rsidRPr="006A4EF1">
        <w:rPr>
          <w:rFonts w:eastAsia="Times New Roman" w:cstheme="minorHAnsi"/>
          <w:color w:val="000000"/>
          <w:lang w:eastAsia="en-AU"/>
        </w:rPr>
        <w:t> One member did a deputation to the</w:t>
      </w:r>
      <w:r w:rsidR="00B31D93">
        <w:rPr>
          <w:rFonts w:eastAsia="Times New Roman" w:cstheme="minorHAnsi"/>
          <w:color w:val="000000"/>
          <w:lang w:eastAsia="en-AU"/>
        </w:rPr>
        <w:t>ir</w:t>
      </w:r>
      <w:r w:rsidRPr="006A4EF1">
        <w:rPr>
          <w:rFonts w:eastAsia="Times New Roman" w:cstheme="minorHAnsi"/>
          <w:color w:val="000000"/>
          <w:lang w:eastAsia="en-AU"/>
        </w:rPr>
        <w:t xml:space="preserve"> </w:t>
      </w:r>
      <w:r w:rsidR="00B31D93">
        <w:rPr>
          <w:rFonts w:eastAsia="Times New Roman" w:cstheme="minorHAnsi"/>
          <w:color w:val="000000"/>
          <w:lang w:eastAsia="en-AU"/>
        </w:rPr>
        <w:t>local c</w:t>
      </w:r>
      <w:r w:rsidRPr="006A4EF1">
        <w:rPr>
          <w:rFonts w:eastAsia="Times New Roman" w:cstheme="minorHAnsi"/>
          <w:color w:val="000000"/>
          <w:lang w:eastAsia="en-AU"/>
        </w:rPr>
        <w:t xml:space="preserve">ouncil to advocate for sensory spaces within the community and </w:t>
      </w:r>
      <w:r w:rsidR="00B31D93">
        <w:rPr>
          <w:rFonts w:eastAsia="Times New Roman" w:cstheme="minorHAnsi"/>
          <w:color w:val="000000"/>
          <w:lang w:eastAsia="en-AU"/>
        </w:rPr>
        <w:t xml:space="preserve">at </w:t>
      </w:r>
      <w:r w:rsidRPr="006A4EF1">
        <w:rPr>
          <w:rFonts w:eastAsia="Times New Roman" w:cstheme="minorHAnsi"/>
          <w:color w:val="000000"/>
          <w:lang w:eastAsia="en-AU"/>
        </w:rPr>
        <w:t>major events.</w:t>
      </w:r>
    </w:p>
    <w:p w14:paraId="0FA1C147" w14:textId="36F891E3" w:rsidR="006A4EF1" w:rsidRPr="006A4EF1" w:rsidRDefault="006A4EF1" w:rsidP="00B95BDD">
      <w:pPr>
        <w:numPr>
          <w:ilvl w:val="0"/>
          <w:numId w:val="3"/>
        </w:numPr>
        <w:shd w:val="clear" w:color="auto" w:fill="FFFFFF"/>
        <w:spacing w:before="100" w:beforeAutospacing="1" w:after="160"/>
        <w:rPr>
          <w:rFonts w:eastAsia="Times New Roman" w:cstheme="minorHAnsi"/>
          <w:color w:val="000000"/>
          <w:lang w:eastAsia="en-AU"/>
        </w:rPr>
      </w:pPr>
      <w:r w:rsidRPr="006A4EF1">
        <w:rPr>
          <w:rFonts w:eastAsia="Times New Roman" w:cstheme="minorHAnsi"/>
          <w:b/>
          <w:bCs/>
          <w:color w:val="000000"/>
          <w:lang w:eastAsia="en-AU"/>
        </w:rPr>
        <w:t xml:space="preserve">Employment </w:t>
      </w:r>
      <w:r w:rsidR="002D1750">
        <w:rPr>
          <w:rFonts w:eastAsia="Times New Roman" w:cstheme="minorHAnsi"/>
          <w:b/>
          <w:bCs/>
          <w:color w:val="000000"/>
          <w:lang w:eastAsia="en-AU"/>
        </w:rPr>
        <w:t>s</w:t>
      </w:r>
      <w:r w:rsidRPr="006A4EF1">
        <w:rPr>
          <w:rFonts w:eastAsia="Times New Roman" w:cstheme="minorHAnsi"/>
          <w:b/>
          <w:bCs/>
          <w:color w:val="000000"/>
          <w:lang w:eastAsia="en-AU"/>
        </w:rPr>
        <w:t>upport</w:t>
      </w:r>
      <w:r w:rsidR="00B96F18">
        <w:rPr>
          <w:rFonts w:eastAsia="Times New Roman" w:cstheme="minorHAnsi"/>
          <w:b/>
          <w:bCs/>
          <w:color w:val="000000"/>
          <w:lang w:eastAsia="en-AU"/>
        </w:rPr>
        <w:t>s</w:t>
      </w:r>
      <w:r w:rsidRPr="006A4EF1">
        <w:rPr>
          <w:rFonts w:eastAsia="Times New Roman" w:cstheme="minorHAnsi"/>
          <w:b/>
          <w:bCs/>
          <w:color w:val="000000"/>
          <w:lang w:eastAsia="en-AU"/>
        </w:rPr>
        <w:t>:</w:t>
      </w:r>
      <w:r w:rsidRPr="006A4EF1">
        <w:rPr>
          <w:rFonts w:eastAsia="Times New Roman" w:cstheme="minorHAnsi"/>
          <w:color w:val="000000"/>
          <w:lang w:eastAsia="en-AU"/>
        </w:rPr>
        <w:t xml:space="preserve"> Peer networks have assisted members in working through ways to gain their driver’s license and supported them </w:t>
      </w:r>
      <w:r w:rsidR="00B31D93">
        <w:rPr>
          <w:rFonts w:eastAsia="Times New Roman" w:cstheme="minorHAnsi"/>
          <w:color w:val="000000"/>
          <w:lang w:eastAsia="en-AU"/>
        </w:rPr>
        <w:t>with</w:t>
      </w:r>
      <w:r w:rsidRPr="006A4EF1">
        <w:rPr>
          <w:rFonts w:eastAsia="Times New Roman" w:cstheme="minorHAnsi"/>
          <w:color w:val="000000"/>
          <w:lang w:eastAsia="en-AU"/>
        </w:rPr>
        <w:t xml:space="preserve"> employment options.</w:t>
      </w:r>
    </w:p>
    <w:p w14:paraId="4B807DB6" w14:textId="58D439B3" w:rsidR="006A4EF1" w:rsidRPr="006A4EF1" w:rsidRDefault="006A4EF1" w:rsidP="00B95BDD">
      <w:pPr>
        <w:numPr>
          <w:ilvl w:val="0"/>
          <w:numId w:val="3"/>
        </w:numPr>
        <w:shd w:val="clear" w:color="auto" w:fill="FFFFFF"/>
        <w:spacing w:before="100" w:beforeAutospacing="1" w:after="160"/>
        <w:rPr>
          <w:rFonts w:eastAsia="Times New Roman" w:cstheme="minorHAnsi"/>
          <w:color w:val="000000"/>
          <w:lang w:eastAsia="en-AU"/>
        </w:rPr>
      </w:pPr>
      <w:r w:rsidRPr="006A4EF1">
        <w:rPr>
          <w:rFonts w:eastAsia="Times New Roman" w:cstheme="minorHAnsi"/>
          <w:b/>
          <w:bCs/>
          <w:color w:val="000000"/>
          <w:lang w:eastAsia="en-AU"/>
        </w:rPr>
        <w:t xml:space="preserve">Personal </w:t>
      </w:r>
      <w:r w:rsidR="002D1750">
        <w:rPr>
          <w:rFonts w:eastAsia="Times New Roman" w:cstheme="minorHAnsi"/>
          <w:b/>
          <w:bCs/>
          <w:color w:val="000000"/>
          <w:lang w:eastAsia="en-AU"/>
        </w:rPr>
        <w:t>g</w:t>
      </w:r>
      <w:r w:rsidRPr="006A4EF1">
        <w:rPr>
          <w:rFonts w:eastAsia="Times New Roman" w:cstheme="minorHAnsi"/>
          <w:b/>
          <w:bCs/>
          <w:color w:val="000000"/>
          <w:lang w:eastAsia="en-AU"/>
        </w:rPr>
        <w:t>rowth:</w:t>
      </w:r>
      <w:r w:rsidRPr="006A4EF1">
        <w:rPr>
          <w:rFonts w:eastAsia="Times New Roman" w:cstheme="minorHAnsi"/>
          <w:color w:val="000000"/>
          <w:lang w:eastAsia="en-AU"/>
        </w:rPr>
        <w:t xml:space="preserve"> Members who were initially hesitant to speak in meetings have grown more confident and are now happy to </w:t>
      </w:r>
      <w:r w:rsidR="00B96F18">
        <w:rPr>
          <w:rFonts w:eastAsia="Times New Roman" w:cstheme="minorHAnsi"/>
          <w:color w:val="000000"/>
          <w:lang w:eastAsia="en-AU"/>
        </w:rPr>
        <w:t xml:space="preserve">speak up and </w:t>
      </w:r>
      <w:r w:rsidRPr="006A4EF1">
        <w:rPr>
          <w:rFonts w:eastAsia="Times New Roman" w:cstheme="minorHAnsi"/>
          <w:color w:val="000000"/>
          <w:lang w:eastAsia="en-AU"/>
        </w:rPr>
        <w:t>share their stories.</w:t>
      </w:r>
    </w:p>
    <w:p w14:paraId="1B637C72" w14:textId="46A8EB54" w:rsidR="006A4EF1" w:rsidRPr="006A4EF1" w:rsidRDefault="006A4EF1" w:rsidP="00B95BDD">
      <w:pPr>
        <w:numPr>
          <w:ilvl w:val="0"/>
          <w:numId w:val="3"/>
        </w:numPr>
        <w:shd w:val="clear" w:color="auto" w:fill="FFFFFF"/>
        <w:spacing w:before="100" w:beforeAutospacing="1" w:after="160"/>
        <w:rPr>
          <w:rFonts w:eastAsia="Times New Roman" w:cstheme="minorHAnsi"/>
          <w:color w:val="000000"/>
          <w:lang w:eastAsia="en-AU"/>
        </w:rPr>
      </w:pPr>
      <w:r w:rsidRPr="006A4EF1">
        <w:rPr>
          <w:rFonts w:eastAsia="Times New Roman" w:cstheme="minorHAnsi"/>
          <w:b/>
          <w:bCs/>
          <w:color w:val="000000"/>
          <w:lang w:eastAsia="en-AU"/>
        </w:rPr>
        <w:t xml:space="preserve">Community </w:t>
      </w:r>
      <w:r w:rsidR="002D1750">
        <w:rPr>
          <w:rFonts w:eastAsia="Times New Roman" w:cstheme="minorHAnsi"/>
          <w:b/>
          <w:bCs/>
          <w:color w:val="000000"/>
          <w:lang w:eastAsia="en-AU"/>
        </w:rPr>
        <w:t>p</w:t>
      </w:r>
      <w:r w:rsidRPr="006A4EF1">
        <w:rPr>
          <w:rFonts w:eastAsia="Times New Roman" w:cstheme="minorHAnsi"/>
          <w:b/>
          <w:bCs/>
          <w:color w:val="000000"/>
          <w:lang w:eastAsia="en-AU"/>
        </w:rPr>
        <w:t>rojects:</w:t>
      </w:r>
      <w:r w:rsidRPr="006A4EF1">
        <w:rPr>
          <w:rFonts w:eastAsia="Times New Roman" w:cstheme="minorHAnsi"/>
          <w:color w:val="000000"/>
          <w:lang w:eastAsia="en-AU"/>
        </w:rPr>
        <w:t> </w:t>
      </w:r>
      <w:r w:rsidR="004B2505">
        <w:rPr>
          <w:rFonts w:eastAsia="Times New Roman" w:cstheme="minorHAnsi"/>
          <w:color w:val="000000"/>
          <w:lang w:eastAsia="en-AU"/>
        </w:rPr>
        <w:t>A</w:t>
      </w:r>
      <w:r w:rsidRPr="006A4EF1">
        <w:rPr>
          <w:rFonts w:eastAsia="Times New Roman" w:cstheme="minorHAnsi"/>
          <w:color w:val="000000"/>
          <w:lang w:eastAsia="en-AU"/>
        </w:rPr>
        <w:t xml:space="preserve"> peer network collaborated with </w:t>
      </w:r>
      <w:r w:rsidR="004B2505">
        <w:rPr>
          <w:rFonts w:eastAsia="Times New Roman" w:cstheme="minorHAnsi"/>
          <w:color w:val="000000"/>
          <w:lang w:eastAsia="en-AU"/>
        </w:rPr>
        <w:t>c</w:t>
      </w:r>
      <w:r w:rsidRPr="006A4EF1">
        <w:rPr>
          <w:rFonts w:eastAsia="Times New Roman" w:cstheme="minorHAnsi"/>
          <w:color w:val="000000"/>
          <w:lang w:eastAsia="en-AU"/>
        </w:rPr>
        <w:t xml:space="preserve">ouncil staff to co-design a sensory space within the </w:t>
      </w:r>
      <w:r w:rsidR="004B2505">
        <w:rPr>
          <w:rFonts w:eastAsia="Times New Roman" w:cstheme="minorHAnsi"/>
          <w:color w:val="000000"/>
          <w:lang w:eastAsia="en-AU"/>
        </w:rPr>
        <w:t>c</w:t>
      </w:r>
      <w:r w:rsidRPr="006A4EF1">
        <w:rPr>
          <w:rFonts w:eastAsia="Times New Roman" w:cstheme="minorHAnsi"/>
          <w:color w:val="000000"/>
          <w:lang w:eastAsia="en-AU"/>
        </w:rPr>
        <w:t>ouncil library.</w:t>
      </w:r>
    </w:p>
    <w:p w14:paraId="3CF33221" w14:textId="1BF4E626" w:rsidR="00087420" w:rsidRDefault="00206A87" w:rsidP="00F56CB4">
      <w:pPr>
        <w:spacing w:after="160"/>
      </w:pPr>
      <w:r>
        <w:t>Despite</w:t>
      </w:r>
      <w:r w:rsidR="0062581D">
        <w:t xml:space="preserve"> the peer networks’ collective achievements, </w:t>
      </w:r>
      <w:r w:rsidR="00661599">
        <w:t>the peer connectors</w:t>
      </w:r>
      <w:r w:rsidR="009370F4">
        <w:t xml:space="preserve"> also</w:t>
      </w:r>
      <w:r w:rsidR="00661599">
        <w:t xml:space="preserve"> identified </w:t>
      </w:r>
      <w:r w:rsidR="00501A6C">
        <w:t xml:space="preserve">many areas where improvement was possible. </w:t>
      </w:r>
    </w:p>
    <w:p w14:paraId="0527679B" w14:textId="77777777" w:rsidR="004D3A3D" w:rsidRPr="00087420" w:rsidRDefault="004D3A3D" w:rsidP="00F56CB4">
      <w:pPr>
        <w:spacing w:after="160"/>
      </w:pPr>
    </w:p>
    <w:p w14:paraId="32A01B86" w14:textId="4CE8169C" w:rsidR="00C144F6" w:rsidRDefault="007162AD" w:rsidP="00F56CB4">
      <w:pPr>
        <w:pStyle w:val="Heading2"/>
        <w:spacing w:after="160" w:line="360" w:lineRule="auto"/>
      </w:pPr>
      <w:bookmarkStart w:id="33" w:name="_Toc184414886"/>
      <w:r>
        <w:lastRenderedPageBreak/>
        <w:t>What else is needed</w:t>
      </w:r>
      <w:bookmarkEnd w:id="33"/>
    </w:p>
    <w:p w14:paraId="2E796AEF" w14:textId="3A1B4213" w:rsidR="00AF3FDD" w:rsidRPr="00AF3FDD" w:rsidRDefault="00817F30" w:rsidP="00F56CB4">
      <w:pPr>
        <w:spacing w:after="160"/>
      </w:pPr>
      <w:r>
        <w:t xml:space="preserve">Our peer </w:t>
      </w:r>
      <w:r w:rsidR="00532525">
        <w:t xml:space="preserve">connectors, having witnessed </w:t>
      </w:r>
      <w:r w:rsidR="00BF4E4C">
        <w:t xml:space="preserve">firsthand how peer networks can transform lives, had a keen awareness of how much more </w:t>
      </w:r>
      <w:r w:rsidR="00152914">
        <w:t>is possible</w:t>
      </w:r>
      <w:r w:rsidR="00797F35">
        <w:t xml:space="preserve"> if th</w:t>
      </w:r>
      <w:r w:rsidR="00DD1E66">
        <w:t xml:space="preserve">e government </w:t>
      </w:r>
      <w:r w:rsidR="0022092F">
        <w:t>initiates some targeted reforms. The peer network</w:t>
      </w:r>
      <w:r w:rsidR="00727124">
        <w:t>s</w:t>
      </w:r>
      <w:r w:rsidR="0022092F">
        <w:t xml:space="preserve"> identified</w:t>
      </w:r>
      <w:r w:rsidR="00C508A9">
        <w:t xml:space="preserve"> the following as potential</w:t>
      </w:r>
      <w:r w:rsidR="0022092F">
        <w:t xml:space="preserve"> as areas for reform: </w:t>
      </w:r>
      <w:r w:rsidR="00532525">
        <w:t xml:space="preserve"> </w:t>
      </w:r>
    </w:p>
    <w:p w14:paraId="57C11D0A" w14:textId="784B324D" w:rsidR="00C144F6" w:rsidRPr="00D77DD5" w:rsidRDefault="00C144F6" w:rsidP="00B95BDD">
      <w:pPr>
        <w:numPr>
          <w:ilvl w:val="0"/>
          <w:numId w:val="14"/>
        </w:numPr>
        <w:spacing w:after="160"/>
      </w:pPr>
      <w:r w:rsidRPr="00D77DD5">
        <w:rPr>
          <w:b/>
          <w:bCs/>
        </w:rPr>
        <w:t xml:space="preserve">Consistent and </w:t>
      </w:r>
      <w:r w:rsidR="00C508A9">
        <w:rPr>
          <w:b/>
          <w:bCs/>
        </w:rPr>
        <w:t>s</w:t>
      </w:r>
      <w:r w:rsidRPr="00D77DD5">
        <w:rPr>
          <w:b/>
          <w:bCs/>
        </w:rPr>
        <w:t xml:space="preserve">table </w:t>
      </w:r>
      <w:r w:rsidR="00C508A9">
        <w:rPr>
          <w:b/>
          <w:bCs/>
        </w:rPr>
        <w:t>f</w:t>
      </w:r>
      <w:r w:rsidRPr="00D77DD5">
        <w:rPr>
          <w:b/>
          <w:bCs/>
        </w:rPr>
        <w:t>unding</w:t>
      </w:r>
      <w:r w:rsidRPr="00D77DD5">
        <w:t xml:space="preserve">: Ensuring long-term and </w:t>
      </w:r>
      <w:r w:rsidR="00C508A9">
        <w:t>sufficient</w:t>
      </w:r>
      <w:r w:rsidRPr="00D77DD5">
        <w:t xml:space="preserve"> funding is crucial. This </w:t>
      </w:r>
      <w:r w:rsidR="000D123E">
        <w:t xml:space="preserve">would </w:t>
      </w:r>
      <w:r w:rsidRPr="00D77DD5">
        <w:t>allow for better planning</w:t>
      </w:r>
      <w:r w:rsidR="007E6DCC">
        <w:t>, trust building</w:t>
      </w:r>
      <w:r w:rsidR="00C508A9">
        <w:t>,</w:t>
      </w:r>
      <w:r w:rsidR="00F77E26">
        <w:t xml:space="preserve"> and</w:t>
      </w:r>
      <w:r w:rsidRPr="00D77DD5">
        <w:t xml:space="preserve"> </w:t>
      </w:r>
      <w:r w:rsidR="00DA4D4C">
        <w:t>increased</w:t>
      </w:r>
      <w:r w:rsidR="00153FB3">
        <w:t xml:space="preserve"> reach </w:t>
      </w:r>
      <w:r w:rsidR="00DA4D4C">
        <w:t>in</w:t>
      </w:r>
      <w:r w:rsidR="00153FB3">
        <w:t>to more communities</w:t>
      </w:r>
      <w:r w:rsidRPr="00D77DD5">
        <w:t>.</w:t>
      </w:r>
    </w:p>
    <w:p w14:paraId="2683F62E" w14:textId="2235E910" w:rsidR="00C144F6" w:rsidRPr="00D77DD5" w:rsidRDefault="00C144F6" w:rsidP="00B95BDD">
      <w:pPr>
        <w:numPr>
          <w:ilvl w:val="0"/>
          <w:numId w:val="14"/>
        </w:numPr>
        <w:spacing w:after="160"/>
      </w:pPr>
      <w:r w:rsidRPr="00D77DD5">
        <w:rPr>
          <w:b/>
          <w:bCs/>
        </w:rPr>
        <w:t>C</w:t>
      </w:r>
      <w:r w:rsidR="00AB5E30">
        <w:rPr>
          <w:b/>
          <w:bCs/>
        </w:rPr>
        <w:t>ommunity</w:t>
      </w:r>
      <w:r w:rsidRPr="00D77DD5">
        <w:rPr>
          <w:b/>
          <w:bCs/>
        </w:rPr>
        <w:t xml:space="preserve"> Hubs</w:t>
      </w:r>
      <w:r w:rsidRPr="00D77DD5">
        <w:t xml:space="preserve">: Establishing central hubs or meeting places with good technology and accessibility can provide a space for people to meet, access </w:t>
      </w:r>
      <w:r w:rsidR="00DA4D4C">
        <w:t xml:space="preserve">information and </w:t>
      </w:r>
      <w:r w:rsidRPr="00D77DD5">
        <w:t>services, and participate in hybrid events.</w:t>
      </w:r>
    </w:p>
    <w:p w14:paraId="2F880B9E" w14:textId="53D41D07" w:rsidR="00C144F6" w:rsidRPr="00D77DD5" w:rsidRDefault="00C144F6" w:rsidP="00B95BDD">
      <w:pPr>
        <w:numPr>
          <w:ilvl w:val="0"/>
          <w:numId w:val="14"/>
        </w:numPr>
        <w:spacing w:after="160"/>
      </w:pPr>
      <w:r w:rsidRPr="00D77DD5">
        <w:rPr>
          <w:b/>
          <w:bCs/>
        </w:rPr>
        <w:t xml:space="preserve">Increased </w:t>
      </w:r>
      <w:r w:rsidR="00AB5E30">
        <w:rPr>
          <w:b/>
          <w:bCs/>
        </w:rPr>
        <w:t>m</w:t>
      </w:r>
      <w:r w:rsidRPr="00D77DD5">
        <w:rPr>
          <w:b/>
          <w:bCs/>
        </w:rPr>
        <w:t xml:space="preserve">eeting </w:t>
      </w:r>
      <w:r w:rsidR="00AB5E30">
        <w:rPr>
          <w:b/>
          <w:bCs/>
        </w:rPr>
        <w:t>f</w:t>
      </w:r>
      <w:r w:rsidRPr="00D77DD5">
        <w:rPr>
          <w:b/>
          <w:bCs/>
        </w:rPr>
        <w:t>requency</w:t>
      </w:r>
      <w:r w:rsidRPr="00D77DD5">
        <w:t xml:space="preserve">: Holding meetings more frequently can help </w:t>
      </w:r>
      <w:r w:rsidR="001211BB">
        <w:t xml:space="preserve">the peer network to </w:t>
      </w:r>
      <w:r w:rsidRPr="00D77DD5">
        <w:t>share more information, supports, and resources.</w:t>
      </w:r>
      <w:r w:rsidR="00491AB4">
        <w:t xml:space="preserve"> But this would require a small amount of additional funding.</w:t>
      </w:r>
    </w:p>
    <w:p w14:paraId="11327C20" w14:textId="565D3AA0" w:rsidR="00C144F6" w:rsidRPr="00D77DD5" w:rsidRDefault="00C144F6" w:rsidP="00B95BDD">
      <w:pPr>
        <w:numPr>
          <w:ilvl w:val="0"/>
          <w:numId w:val="14"/>
        </w:numPr>
        <w:spacing w:after="160"/>
      </w:pPr>
      <w:r w:rsidRPr="00D77DD5">
        <w:rPr>
          <w:b/>
          <w:bCs/>
        </w:rPr>
        <w:t>Speciali</w:t>
      </w:r>
      <w:r w:rsidR="00491AB4">
        <w:rPr>
          <w:b/>
          <w:bCs/>
        </w:rPr>
        <w:t>s</w:t>
      </w:r>
      <w:r w:rsidRPr="00D77DD5">
        <w:rPr>
          <w:b/>
          <w:bCs/>
        </w:rPr>
        <w:t xml:space="preserve">ed </w:t>
      </w:r>
      <w:r w:rsidR="00491AB4">
        <w:rPr>
          <w:b/>
          <w:bCs/>
        </w:rPr>
        <w:t>n</w:t>
      </w:r>
      <w:r w:rsidRPr="00D77DD5">
        <w:rPr>
          <w:b/>
          <w:bCs/>
        </w:rPr>
        <w:t>etworks</w:t>
      </w:r>
      <w:r w:rsidRPr="00D77DD5">
        <w:t>: Creating more speciali</w:t>
      </w:r>
      <w:r w:rsidR="00491AB4">
        <w:t>s</w:t>
      </w:r>
      <w:r w:rsidRPr="00D77DD5">
        <w:t>ed peer networks for different groups</w:t>
      </w:r>
      <w:r w:rsidR="006F3CB6">
        <w:t>,</w:t>
      </w:r>
      <w:r w:rsidRPr="00D77DD5">
        <w:t xml:space="preserve"> such as youth, LGBTQI+, and neurodivergent individuals can address specific needs and provide targeted support.</w:t>
      </w:r>
    </w:p>
    <w:p w14:paraId="58D0954A" w14:textId="5A3C3C2A" w:rsidR="00C144F6" w:rsidRPr="00D77DD5" w:rsidRDefault="00C144F6" w:rsidP="00B95BDD">
      <w:pPr>
        <w:numPr>
          <w:ilvl w:val="0"/>
          <w:numId w:val="14"/>
        </w:numPr>
        <w:spacing w:after="160"/>
      </w:pPr>
      <w:r w:rsidRPr="00D77DD5">
        <w:rPr>
          <w:b/>
          <w:bCs/>
        </w:rPr>
        <w:t xml:space="preserve">Transport </w:t>
      </w:r>
      <w:r w:rsidR="004D7521">
        <w:rPr>
          <w:b/>
          <w:bCs/>
        </w:rPr>
        <w:t>s</w:t>
      </w:r>
      <w:r w:rsidRPr="00D77DD5">
        <w:rPr>
          <w:b/>
          <w:bCs/>
        </w:rPr>
        <w:t>upport</w:t>
      </w:r>
      <w:r w:rsidRPr="00D77DD5">
        <w:t xml:space="preserve">: Providing transport support can help overcome barriers for those who cannot attend meetings due to </w:t>
      </w:r>
      <w:r w:rsidR="00D43A45">
        <w:t xml:space="preserve">a </w:t>
      </w:r>
      <w:r w:rsidRPr="00D77DD5">
        <w:t>lack of transport</w:t>
      </w:r>
      <w:r w:rsidR="00E80473">
        <w:t xml:space="preserve"> and the tyranny of distance</w:t>
      </w:r>
      <w:r w:rsidRPr="00D77DD5">
        <w:t>.</w:t>
      </w:r>
      <w:r w:rsidR="001327ED">
        <w:t xml:space="preserve"> </w:t>
      </w:r>
      <w:r w:rsidR="00DD0BF4">
        <w:t xml:space="preserve">Peer connectors identified </w:t>
      </w:r>
      <w:r w:rsidR="005671A5">
        <w:t xml:space="preserve">as a key priority </w:t>
      </w:r>
      <w:r w:rsidR="00A436E9">
        <w:t xml:space="preserve">the improvement of access to </w:t>
      </w:r>
      <w:r w:rsidR="00DD0BF4">
        <w:t>transport</w:t>
      </w:r>
      <w:r w:rsidR="00810684">
        <w:t xml:space="preserve">, particularly in regional areas where distance </w:t>
      </w:r>
      <w:r w:rsidR="00D43A45">
        <w:t>increase</w:t>
      </w:r>
      <w:r w:rsidR="007043EA">
        <w:t>s</w:t>
      </w:r>
      <w:r w:rsidR="00D43A45">
        <w:t xml:space="preserve"> the cost significantly</w:t>
      </w:r>
      <w:r w:rsidR="00A436E9">
        <w:t>.</w:t>
      </w:r>
      <w:r w:rsidR="005671A5">
        <w:t xml:space="preserve"> </w:t>
      </w:r>
      <w:r w:rsidR="008337D9">
        <w:t>Hybrid meetings can work</w:t>
      </w:r>
      <w:r w:rsidR="00EC2AE3">
        <w:t xml:space="preserve"> for many people</w:t>
      </w:r>
      <w:r w:rsidR="008337D9">
        <w:t xml:space="preserve">, but some </w:t>
      </w:r>
      <w:r w:rsidR="00EC2AE3">
        <w:t>in-person gatherings help build connection and mutual relationships.</w:t>
      </w:r>
      <w:r w:rsidR="00DD0BF4">
        <w:t xml:space="preserve"> </w:t>
      </w:r>
    </w:p>
    <w:p w14:paraId="54FC2487" w14:textId="77FA6B63" w:rsidR="00C144F6" w:rsidRPr="00D77DD5" w:rsidRDefault="00C144F6" w:rsidP="00B95BDD">
      <w:pPr>
        <w:numPr>
          <w:ilvl w:val="0"/>
          <w:numId w:val="14"/>
        </w:numPr>
        <w:spacing w:after="160"/>
      </w:pPr>
      <w:r w:rsidRPr="00D77DD5">
        <w:rPr>
          <w:b/>
          <w:bCs/>
        </w:rPr>
        <w:t xml:space="preserve">Promotion and </w:t>
      </w:r>
      <w:r w:rsidR="007043EA">
        <w:rPr>
          <w:b/>
          <w:bCs/>
        </w:rPr>
        <w:t>i</w:t>
      </w:r>
      <w:r w:rsidRPr="00D77DD5">
        <w:rPr>
          <w:b/>
          <w:bCs/>
        </w:rPr>
        <w:t>ncentives</w:t>
      </w:r>
      <w:r w:rsidRPr="00D77DD5">
        <w:t>: Promoting the benefits of peer networks through lived experience stories and offering incentives like gift vouchers or certificates can encourage participation.</w:t>
      </w:r>
      <w:r w:rsidR="00DD0BF4">
        <w:t xml:space="preserve"> </w:t>
      </w:r>
      <w:r w:rsidR="00A436E9">
        <w:t>CALD connectors</w:t>
      </w:r>
      <w:r w:rsidR="00F13A06">
        <w:t xml:space="preserve"> identified the offering of incentives as a key improvement</w:t>
      </w:r>
      <w:r w:rsidR="007043EA">
        <w:t xml:space="preserve"> because it would encourage people to attend </w:t>
      </w:r>
      <w:r w:rsidR="008456B4">
        <w:t>despite not perceiving the benefit to be gained beforehand</w:t>
      </w:r>
      <w:r w:rsidR="00F13A06">
        <w:t>.</w:t>
      </w:r>
    </w:p>
    <w:p w14:paraId="6812376A" w14:textId="7E889043" w:rsidR="00C144F6" w:rsidRPr="00D77DD5" w:rsidRDefault="00C144F6" w:rsidP="00B95BDD">
      <w:pPr>
        <w:numPr>
          <w:ilvl w:val="0"/>
          <w:numId w:val="14"/>
        </w:numPr>
        <w:spacing w:after="160"/>
      </w:pPr>
      <w:r w:rsidRPr="00D77DD5">
        <w:rPr>
          <w:b/>
          <w:bCs/>
        </w:rPr>
        <w:lastRenderedPageBreak/>
        <w:t xml:space="preserve">Childcare </w:t>
      </w:r>
      <w:r w:rsidR="008456B4">
        <w:rPr>
          <w:b/>
          <w:bCs/>
        </w:rPr>
        <w:t>s</w:t>
      </w:r>
      <w:r w:rsidRPr="00D77DD5">
        <w:rPr>
          <w:b/>
          <w:bCs/>
        </w:rPr>
        <w:t>upport</w:t>
      </w:r>
      <w:r w:rsidRPr="00D77DD5">
        <w:t>: Offering childcare during meetings can help parents</w:t>
      </w:r>
      <w:r w:rsidR="00AF3FDD">
        <w:t xml:space="preserve"> </w:t>
      </w:r>
      <w:r w:rsidRPr="00D77DD5">
        <w:t>to participate more actively.</w:t>
      </w:r>
    </w:p>
    <w:p w14:paraId="684C7212" w14:textId="567C0BCE" w:rsidR="00C144F6" w:rsidRPr="00501A6C" w:rsidRDefault="00C144F6" w:rsidP="00B95BDD">
      <w:pPr>
        <w:numPr>
          <w:ilvl w:val="0"/>
          <w:numId w:val="14"/>
        </w:numPr>
        <w:spacing w:after="160"/>
      </w:pPr>
      <w:r w:rsidRPr="00D77DD5">
        <w:rPr>
          <w:b/>
          <w:bCs/>
        </w:rPr>
        <w:t xml:space="preserve">Addressing </w:t>
      </w:r>
      <w:r w:rsidR="008456B4">
        <w:rPr>
          <w:b/>
          <w:bCs/>
        </w:rPr>
        <w:t>i</w:t>
      </w:r>
      <w:r w:rsidRPr="00D77DD5">
        <w:rPr>
          <w:b/>
          <w:bCs/>
        </w:rPr>
        <w:t xml:space="preserve">nternet </w:t>
      </w:r>
      <w:r w:rsidR="008456B4">
        <w:rPr>
          <w:b/>
          <w:bCs/>
        </w:rPr>
        <w:t>b</w:t>
      </w:r>
      <w:r w:rsidRPr="00D77DD5">
        <w:rPr>
          <w:b/>
          <w:bCs/>
        </w:rPr>
        <w:t>arriers</w:t>
      </w:r>
      <w:r w:rsidRPr="00D77DD5">
        <w:t>: Improving internet access, especially in smaller towns, can help connect more people to peer network</w:t>
      </w:r>
      <w:r w:rsidR="004B19AA">
        <w:t>s</w:t>
      </w:r>
      <w:r w:rsidR="006F11E0">
        <w:t>.</w:t>
      </w:r>
    </w:p>
    <w:p w14:paraId="3EFA2F2F" w14:textId="21702B66" w:rsidR="001B3E61" w:rsidRDefault="00205ADF" w:rsidP="00F56CB4">
      <w:pPr>
        <w:spacing w:after="160"/>
      </w:pPr>
      <w:r>
        <w:t xml:space="preserve">Across all our conversations, there is a very strong appreciation of the benefits of </w:t>
      </w:r>
      <w:r w:rsidR="00624AAD">
        <w:t xml:space="preserve">sustained funding for peer support networks to connect people to information, resources, and each other, thereby providing a natural safeguard in people’s lives. It is critical governments recognise this </w:t>
      </w:r>
      <w:r w:rsidR="0008671B">
        <w:t xml:space="preserve">value separate from, and in addition to, capacity building supports. </w:t>
      </w:r>
      <w:r w:rsidR="00844A6D">
        <w:t xml:space="preserve">There is </w:t>
      </w:r>
      <w:r w:rsidR="00F964C2">
        <w:t xml:space="preserve">also </w:t>
      </w:r>
      <w:r w:rsidR="00844A6D">
        <w:t xml:space="preserve">a strong </w:t>
      </w:r>
      <w:r w:rsidR="00A432B9">
        <w:t xml:space="preserve">correlation between peer network involvement and </w:t>
      </w:r>
      <w:r w:rsidR="006D4D74">
        <w:t>the confidence to self-advocate.</w:t>
      </w:r>
      <w:r w:rsidR="00F964C2">
        <w:t xml:space="preserve"> Peer support networks should be a</w:t>
      </w:r>
      <w:r w:rsidR="00047F04">
        <w:t>n</w:t>
      </w:r>
      <w:r w:rsidR="00F964C2">
        <w:t xml:space="preserve"> integral part of a Foundational Supports Strategy</w:t>
      </w:r>
      <w:r w:rsidR="00047F04">
        <w:t xml:space="preserve"> with a recognition that they represent a very cost-effective way to provide </w:t>
      </w:r>
      <w:r w:rsidR="00D23F8B">
        <w:t>community-based supports</w:t>
      </w:r>
      <w:r w:rsidR="00047F04">
        <w:t xml:space="preserve">. </w:t>
      </w:r>
    </w:p>
    <w:p w14:paraId="6FF83E49" w14:textId="0ABD3CFB" w:rsidR="005221F8" w:rsidRDefault="00D23F8B" w:rsidP="00F56CB4">
      <w:pPr>
        <w:spacing w:after="160"/>
      </w:pPr>
      <w:bookmarkStart w:id="34" w:name="_Hlk184408966"/>
      <w:r w:rsidRPr="005B3BDC">
        <w:rPr>
          <w:rStyle w:val="Heading4Char"/>
        </w:rPr>
        <w:t>Recommendation 1</w:t>
      </w:r>
      <w:r>
        <w:rPr>
          <w:rStyle w:val="Heading4Char"/>
        </w:rPr>
        <w:t>3</w:t>
      </w:r>
      <w:r w:rsidRPr="005B3BDC">
        <w:rPr>
          <w:rStyle w:val="Heading4Char"/>
        </w:rPr>
        <w:t>:</w:t>
      </w:r>
      <w:r>
        <w:rPr>
          <w:b/>
          <w:bCs/>
          <w:color w:val="7030A0"/>
        </w:rPr>
        <w:t xml:space="preserve"> </w:t>
      </w:r>
      <w:r w:rsidRPr="00125104">
        <w:rPr>
          <w:b/>
          <w:bCs/>
        </w:rPr>
        <w:t xml:space="preserve">The </w:t>
      </w:r>
      <w:r>
        <w:rPr>
          <w:b/>
          <w:bCs/>
        </w:rPr>
        <w:t>Australian Government</w:t>
      </w:r>
      <w:r w:rsidRPr="00125104">
        <w:rPr>
          <w:b/>
          <w:bCs/>
        </w:rPr>
        <w:t xml:space="preserve"> </w:t>
      </w:r>
      <w:r>
        <w:rPr>
          <w:b/>
          <w:bCs/>
        </w:rPr>
        <w:t>shoul</w:t>
      </w:r>
      <w:r w:rsidR="00926524">
        <w:rPr>
          <w:b/>
          <w:bCs/>
        </w:rPr>
        <w:t xml:space="preserve">d recognise the value </w:t>
      </w:r>
      <w:r w:rsidR="00CF3C57">
        <w:rPr>
          <w:b/>
          <w:bCs/>
        </w:rPr>
        <w:t xml:space="preserve">of </w:t>
      </w:r>
      <w:r w:rsidR="00926524">
        <w:rPr>
          <w:b/>
          <w:bCs/>
        </w:rPr>
        <w:t xml:space="preserve">peer support networks </w:t>
      </w:r>
      <w:r w:rsidR="00CF3C57">
        <w:rPr>
          <w:b/>
          <w:bCs/>
        </w:rPr>
        <w:t xml:space="preserve">for people with disability and embed </w:t>
      </w:r>
      <w:r w:rsidR="00FC2F0B">
        <w:rPr>
          <w:b/>
          <w:bCs/>
        </w:rPr>
        <w:t xml:space="preserve">long-term </w:t>
      </w:r>
      <w:r w:rsidR="00CF3C57">
        <w:rPr>
          <w:b/>
          <w:bCs/>
        </w:rPr>
        <w:t xml:space="preserve">funding to support their operations </w:t>
      </w:r>
      <w:r w:rsidR="00926524">
        <w:rPr>
          <w:b/>
          <w:bCs/>
        </w:rPr>
        <w:t>within the Foundational Supports Strategy</w:t>
      </w:r>
      <w:r w:rsidR="00CF3C57">
        <w:rPr>
          <w:b/>
          <w:bCs/>
        </w:rPr>
        <w:t xml:space="preserve"> </w:t>
      </w:r>
      <w:r w:rsidR="00FC2F0B">
        <w:rPr>
          <w:b/>
          <w:bCs/>
        </w:rPr>
        <w:t>as</w:t>
      </w:r>
      <w:r w:rsidR="00CF3C57">
        <w:rPr>
          <w:b/>
          <w:bCs/>
        </w:rPr>
        <w:t xml:space="preserve"> a separate </w:t>
      </w:r>
      <w:r w:rsidR="00FC2F0B">
        <w:rPr>
          <w:b/>
          <w:bCs/>
        </w:rPr>
        <w:t xml:space="preserve">dedicated </w:t>
      </w:r>
      <w:r w:rsidR="00CF3C57">
        <w:rPr>
          <w:b/>
          <w:bCs/>
        </w:rPr>
        <w:t xml:space="preserve">stream from other </w:t>
      </w:r>
      <w:r w:rsidR="00F352B7">
        <w:rPr>
          <w:b/>
          <w:bCs/>
        </w:rPr>
        <w:t xml:space="preserve">types of </w:t>
      </w:r>
      <w:r w:rsidR="00CF3C57">
        <w:rPr>
          <w:b/>
          <w:bCs/>
        </w:rPr>
        <w:t xml:space="preserve">capacity building </w:t>
      </w:r>
      <w:r w:rsidR="00FC2F0B">
        <w:rPr>
          <w:b/>
          <w:bCs/>
        </w:rPr>
        <w:t xml:space="preserve">initiatives. </w:t>
      </w:r>
      <w:bookmarkEnd w:id="34"/>
      <w:r w:rsidR="00926524">
        <w:rPr>
          <w:b/>
          <w:bCs/>
        </w:rPr>
        <w:t xml:space="preserve"> </w:t>
      </w:r>
    </w:p>
    <w:p w14:paraId="7303DF1F" w14:textId="77777777" w:rsidR="005221F8" w:rsidRPr="005221F8" w:rsidRDefault="005221F8" w:rsidP="00F56CB4">
      <w:pPr>
        <w:spacing w:after="160"/>
      </w:pPr>
    </w:p>
    <w:p w14:paraId="61C9834D" w14:textId="77777777" w:rsidR="005C1237" w:rsidRPr="008B120B" w:rsidRDefault="005C1237" w:rsidP="00F56CB4">
      <w:pPr>
        <w:spacing w:after="160"/>
      </w:pPr>
    </w:p>
    <w:p w14:paraId="0ABF0262" w14:textId="77777777" w:rsidR="005C1237" w:rsidRPr="008B120B" w:rsidRDefault="005C1237" w:rsidP="00F56CB4">
      <w:pPr>
        <w:spacing w:after="160"/>
      </w:pPr>
    </w:p>
    <w:bookmarkEnd w:id="0"/>
    <w:p w14:paraId="21DB9DBB" w14:textId="77777777" w:rsidR="00235A9A" w:rsidRDefault="00235A9A" w:rsidP="00F56CB4">
      <w:pPr>
        <w:spacing w:after="160"/>
        <w:rPr>
          <w:rFonts w:cstheme="minorHAnsi"/>
          <w:b/>
          <w:color w:val="522E91"/>
          <w:sz w:val="32"/>
          <w:szCs w:val="32"/>
        </w:rPr>
      </w:pPr>
      <w:r>
        <w:br w:type="page"/>
      </w:r>
    </w:p>
    <w:p w14:paraId="283224BA" w14:textId="72824C8B" w:rsidR="007162AD" w:rsidRDefault="007162AD" w:rsidP="00F56CB4">
      <w:pPr>
        <w:pStyle w:val="Heading1"/>
        <w:spacing w:after="160" w:line="360" w:lineRule="auto"/>
      </w:pPr>
      <w:bookmarkStart w:id="35" w:name="_Toc184414887"/>
      <w:r>
        <w:lastRenderedPageBreak/>
        <w:t>Self-advocacy</w:t>
      </w:r>
      <w:bookmarkEnd w:id="35"/>
    </w:p>
    <w:p w14:paraId="693EC650" w14:textId="4864148E" w:rsidR="00A930B7" w:rsidRDefault="006B6ADD" w:rsidP="00750FEF">
      <w:pPr>
        <w:spacing w:after="160"/>
      </w:pPr>
      <w:r>
        <w:t>Empowering people to s</w:t>
      </w:r>
      <w:r w:rsidR="000E7A2E">
        <w:t>elf-advoca</w:t>
      </w:r>
      <w:r>
        <w:t xml:space="preserve">te ensures they </w:t>
      </w:r>
      <w:r w:rsidR="002C0F5E">
        <w:t xml:space="preserve">can speak up </w:t>
      </w:r>
      <w:r w:rsidR="0094655C">
        <w:t xml:space="preserve">for their rights </w:t>
      </w:r>
      <w:r w:rsidR="002C0F5E">
        <w:t xml:space="preserve">and </w:t>
      </w:r>
      <w:r w:rsidR="00F16EAB">
        <w:t xml:space="preserve">effectively </w:t>
      </w:r>
      <w:r w:rsidR="002C0F5E">
        <w:t xml:space="preserve">represent themselves </w:t>
      </w:r>
      <w:r w:rsidR="0094655C">
        <w:t xml:space="preserve">and their needs </w:t>
      </w:r>
      <w:r w:rsidR="00464C03">
        <w:t>with services, providers, support workers, and others.</w:t>
      </w:r>
      <w:r w:rsidR="00BA29A0">
        <w:t xml:space="preserve"> </w:t>
      </w:r>
      <w:r w:rsidR="004E5567">
        <w:t>While s</w:t>
      </w:r>
      <w:r w:rsidR="001D22A5">
        <w:t xml:space="preserve">elf-advocacy </w:t>
      </w:r>
      <w:r w:rsidR="00750FEF">
        <w:t>is included in this consultation</w:t>
      </w:r>
      <w:r w:rsidR="004E5567">
        <w:t xml:space="preserve">, other forms </w:t>
      </w:r>
      <w:r w:rsidR="00F16EAB">
        <w:t xml:space="preserve">of advocacy </w:t>
      </w:r>
      <w:r w:rsidR="004E5567">
        <w:t xml:space="preserve">are not. We do not question the importance of support to </w:t>
      </w:r>
      <w:r w:rsidR="00D15D23">
        <w:t>build self-advocacy skills</w:t>
      </w:r>
      <w:r w:rsidR="00BA4A29">
        <w:t xml:space="preserve"> and opportunities</w:t>
      </w:r>
      <w:r w:rsidR="00D15D23">
        <w:t xml:space="preserve">, </w:t>
      </w:r>
      <w:r w:rsidR="001E1C17">
        <w:t xml:space="preserve">but </w:t>
      </w:r>
      <w:r w:rsidR="00D15D23">
        <w:t xml:space="preserve">viewing </w:t>
      </w:r>
      <w:r w:rsidR="00BD7A40">
        <w:t>one</w:t>
      </w:r>
      <w:r w:rsidR="00D15D23">
        <w:t xml:space="preserve"> form of advocacy in isolation </w:t>
      </w:r>
      <w:r w:rsidR="001E1C17">
        <w:t xml:space="preserve">of others </w:t>
      </w:r>
      <w:r w:rsidR="00BD7A40">
        <w:t xml:space="preserve">misses the interconnected nature </w:t>
      </w:r>
      <w:r w:rsidR="001E1C17">
        <w:t>of these services and supports. In conversations with ou</w:t>
      </w:r>
      <w:r w:rsidR="00F16EAB">
        <w:t>r</w:t>
      </w:r>
      <w:r w:rsidR="001E1C17">
        <w:t xml:space="preserve"> peer connectors</w:t>
      </w:r>
      <w:r w:rsidR="000F2CD9">
        <w:t xml:space="preserve">, the distinction was very difficult to maintain. The Foundational Supports Strategy needs to </w:t>
      </w:r>
      <w:r w:rsidR="007C32BC">
        <w:t xml:space="preserve">reflect a holistic and integrated approach to advocacy rather than making arbitrary distinctions. Indeed, the NDIS Review’s recommendations envisage other forms of advocacy </w:t>
      </w:r>
      <w:r w:rsidR="00C41C9D">
        <w:t>as integral to Foundational Supports</w:t>
      </w:r>
      <w:r w:rsidR="0080138E">
        <w:t>, making</w:t>
      </w:r>
      <w:r w:rsidR="00C41C9D">
        <w:t xml:space="preserve"> the demarcation in the consultation paper </w:t>
      </w:r>
      <w:r w:rsidR="0080138E">
        <w:t xml:space="preserve">unhelpful in </w:t>
      </w:r>
      <w:r w:rsidR="00D56CF1">
        <w:t xml:space="preserve">considering </w:t>
      </w:r>
      <w:r w:rsidR="009161A5">
        <w:t>the design of a</w:t>
      </w:r>
      <w:r w:rsidR="00C03795">
        <w:t xml:space="preserve"> comprehensive and</w:t>
      </w:r>
      <w:r w:rsidR="009161A5">
        <w:t xml:space="preserve"> effective approach.</w:t>
      </w:r>
    </w:p>
    <w:p w14:paraId="243BFD33" w14:textId="1D30C9AA" w:rsidR="00410E89" w:rsidRDefault="00A930B7" w:rsidP="00750FEF">
      <w:pPr>
        <w:spacing w:after="160"/>
      </w:pPr>
      <w:r>
        <w:t>In this section</w:t>
      </w:r>
      <w:r w:rsidR="009161A5">
        <w:t>,</w:t>
      </w:r>
      <w:r>
        <w:t xml:space="preserve"> we</w:t>
      </w:r>
      <w:r w:rsidR="009161A5">
        <w:t xml:space="preserve"> discuss </w:t>
      </w:r>
      <w:r w:rsidR="001806B0">
        <w:t xml:space="preserve">the benefits of self-advocacy and outline </w:t>
      </w:r>
      <w:r w:rsidR="00B718F1">
        <w:t xml:space="preserve">what else is needed, which, as described above, inevitably encompasses advocacy </w:t>
      </w:r>
      <w:r w:rsidR="001B5730">
        <w:t xml:space="preserve">needs beyond only focusing on self-advocacy. </w:t>
      </w:r>
    </w:p>
    <w:p w14:paraId="5C9AE819" w14:textId="77777777" w:rsidR="00A930B7" w:rsidRPr="00410E89" w:rsidRDefault="00A930B7" w:rsidP="00750FEF">
      <w:pPr>
        <w:spacing w:after="160"/>
      </w:pPr>
    </w:p>
    <w:p w14:paraId="4A045F9B" w14:textId="591EE4BC" w:rsidR="007162AD" w:rsidRDefault="007162AD" w:rsidP="00750FEF">
      <w:pPr>
        <w:pStyle w:val="Heading2"/>
        <w:spacing w:after="160" w:line="360" w:lineRule="auto"/>
      </w:pPr>
      <w:bookmarkStart w:id="36" w:name="_Toc184414888"/>
      <w:r>
        <w:t>Existing supports</w:t>
      </w:r>
      <w:r w:rsidR="00235A9A">
        <w:t xml:space="preserve"> for self-advocacy</w:t>
      </w:r>
      <w:bookmarkEnd w:id="36"/>
    </w:p>
    <w:p w14:paraId="5B3C1F82" w14:textId="503911FB" w:rsidR="00926475" w:rsidRPr="00926475" w:rsidRDefault="004574CD" w:rsidP="00750FEF">
      <w:pPr>
        <w:spacing w:after="160"/>
      </w:pPr>
      <w:r>
        <w:t xml:space="preserve">Our regional and CALD community peer connectors identified </w:t>
      </w:r>
      <w:r w:rsidR="0049427F">
        <w:t xml:space="preserve">a range of benefits </w:t>
      </w:r>
      <w:r w:rsidR="008418EC">
        <w:t>to self-advocacy, including</w:t>
      </w:r>
      <w:r w:rsidR="002D11CB">
        <w:t>:</w:t>
      </w:r>
    </w:p>
    <w:p w14:paraId="16544ACF" w14:textId="3F691042" w:rsidR="00926475" w:rsidRPr="00E17F1B" w:rsidRDefault="00926475" w:rsidP="00B95BDD">
      <w:pPr>
        <w:numPr>
          <w:ilvl w:val="0"/>
          <w:numId w:val="15"/>
        </w:numPr>
        <w:spacing w:after="160"/>
      </w:pPr>
      <w:r w:rsidRPr="00E17F1B">
        <w:rPr>
          <w:b/>
          <w:bCs/>
        </w:rPr>
        <w:t>Empowerment</w:t>
      </w:r>
      <w:r w:rsidRPr="00E17F1B">
        <w:t xml:space="preserve">: Self-advocacy empowers </w:t>
      </w:r>
      <w:r w:rsidR="008418EC">
        <w:t>people with disability</w:t>
      </w:r>
      <w:r w:rsidRPr="00E17F1B">
        <w:t xml:space="preserve"> to take control of their own lives and make decisions</w:t>
      </w:r>
      <w:r w:rsidR="00812917">
        <w:t xml:space="preserve"> about things</w:t>
      </w:r>
      <w:r w:rsidRPr="00E17F1B">
        <w:t xml:space="preserve"> that affect them. This sense of control can lead to increased confidence and self-esteem.</w:t>
      </w:r>
    </w:p>
    <w:p w14:paraId="3AC6AF5B" w14:textId="496DD4EB" w:rsidR="00926475" w:rsidRPr="00E17F1B" w:rsidRDefault="00E54F3E" w:rsidP="00B95BDD">
      <w:pPr>
        <w:numPr>
          <w:ilvl w:val="0"/>
          <w:numId w:val="15"/>
        </w:numPr>
        <w:spacing w:after="160"/>
      </w:pPr>
      <w:r>
        <w:rPr>
          <w:b/>
          <w:bCs/>
        </w:rPr>
        <w:t>Choice and control</w:t>
      </w:r>
      <w:r w:rsidR="00926475" w:rsidRPr="00E17F1B">
        <w:t xml:space="preserve">: By advocating for themselves, </w:t>
      </w:r>
      <w:r w:rsidR="004A35D0">
        <w:t>people with disability</w:t>
      </w:r>
      <w:r w:rsidR="00926475" w:rsidRPr="00E17F1B">
        <w:t xml:space="preserve"> can become more independent. They learn to navigate systems and access resources without relying heavily on others</w:t>
      </w:r>
      <w:r w:rsidR="00170AFB">
        <w:t xml:space="preserve"> including paid support workers</w:t>
      </w:r>
      <w:r w:rsidR="0043416A">
        <w:t xml:space="preserve">, increasing </w:t>
      </w:r>
      <w:r w:rsidR="00170AFB">
        <w:t xml:space="preserve">their </w:t>
      </w:r>
      <w:r w:rsidR="0043416A">
        <w:t>choice and control</w:t>
      </w:r>
      <w:r w:rsidR="00926475" w:rsidRPr="00E17F1B">
        <w:t>.</w:t>
      </w:r>
    </w:p>
    <w:p w14:paraId="73420CD3" w14:textId="4246D100" w:rsidR="00926475" w:rsidRPr="00E17F1B" w:rsidRDefault="00926475" w:rsidP="00B95BDD">
      <w:pPr>
        <w:numPr>
          <w:ilvl w:val="0"/>
          <w:numId w:val="15"/>
        </w:numPr>
        <w:spacing w:after="160"/>
      </w:pPr>
      <w:r w:rsidRPr="00E17F1B">
        <w:rPr>
          <w:b/>
          <w:bCs/>
        </w:rPr>
        <w:lastRenderedPageBreak/>
        <w:t xml:space="preserve">Communication </w:t>
      </w:r>
      <w:r w:rsidR="00170AFB">
        <w:rPr>
          <w:b/>
          <w:bCs/>
        </w:rPr>
        <w:t>c</w:t>
      </w:r>
      <w:r w:rsidR="00E54F3E">
        <w:rPr>
          <w:b/>
          <w:bCs/>
        </w:rPr>
        <w:t xml:space="preserve">apacity </w:t>
      </w:r>
      <w:r w:rsidR="00170AFB">
        <w:rPr>
          <w:b/>
          <w:bCs/>
        </w:rPr>
        <w:t>b</w:t>
      </w:r>
      <w:r w:rsidR="00E54F3E">
        <w:rPr>
          <w:b/>
          <w:bCs/>
        </w:rPr>
        <w:t>uilding</w:t>
      </w:r>
      <w:r w:rsidRPr="00E17F1B">
        <w:t xml:space="preserve">: Engaging in self-advocacy helps </w:t>
      </w:r>
      <w:r w:rsidR="0043416A">
        <w:t>people with disability</w:t>
      </w:r>
      <w:r w:rsidRPr="00E17F1B">
        <w:t xml:space="preserve"> develop </w:t>
      </w:r>
      <w:r w:rsidR="005A71C0">
        <w:t xml:space="preserve">their </w:t>
      </w:r>
      <w:r w:rsidRPr="00E17F1B">
        <w:t>communication skill</w:t>
      </w:r>
      <w:r w:rsidR="0043416A">
        <w:t xml:space="preserve"> capacity</w:t>
      </w:r>
      <w:r w:rsidRPr="00E17F1B">
        <w:t>. They learn to express their needs and desires clearly and effectively.</w:t>
      </w:r>
    </w:p>
    <w:p w14:paraId="47F2E187" w14:textId="33A03D4F" w:rsidR="00926475" w:rsidRPr="00E17F1B" w:rsidRDefault="00013168" w:rsidP="00B95BDD">
      <w:pPr>
        <w:numPr>
          <w:ilvl w:val="0"/>
          <w:numId w:val="15"/>
        </w:numPr>
        <w:spacing w:after="160"/>
      </w:pPr>
      <w:r>
        <w:rPr>
          <w:b/>
          <w:bCs/>
        </w:rPr>
        <w:t>Person</w:t>
      </w:r>
      <w:r w:rsidR="005A71C0">
        <w:rPr>
          <w:b/>
          <w:bCs/>
        </w:rPr>
        <w:t>-</w:t>
      </w:r>
      <w:r>
        <w:rPr>
          <w:b/>
          <w:bCs/>
        </w:rPr>
        <w:t>centred outcomes</w:t>
      </w:r>
      <w:r w:rsidR="00926475" w:rsidRPr="00E17F1B">
        <w:t xml:space="preserve">: When individuals advocate for themselves, they are more likely to achieve outcomes that </w:t>
      </w:r>
      <w:r w:rsidR="005A71C0">
        <w:t xml:space="preserve">genuinely </w:t>
      </w:r>
      <w:r w:rsidR="007B34BC">
        <w:t>reflect their will and preferences</w:t>
      </w:r>
      <w:r w:rsidR="00926475" w:rsidRPr="00E17F1B">
        <w:t>. They can ensure their needs and preferences are considered in decision-making processes.</w:t>
      </w:r>
    </w:p>
    <w:p w14:paraId="446D523D" w14:textId="7ABB2DA5" w:rsidR="00E31DAC" w:rsidRDefault="00926475" w:rsidP="00B95BDD">
      <w:pPr>
        <w:numPr>
          <w:ilvl w:val="0"/>
          <w:numId w:val="15"/>
        </w:numPr>
        <w:spacing w:after="160"/>
      </w:pPr>
      <w:r w:rsidRPr="00E17F1B">
        <w:rPr>
          <w:b/>
          <w:bCs/>
        </w:rPr>
        <w:t xml:space="preserve">Increased </w:t>
      </w:r>
      <w:r w:rsidR="005A71C0">
        <w:rPr>
          <w:b/>
          <w:bCs/>
        </w:rPr>
        <w:t>a</w:t>
      </w:r>
      <w:r w:rsidRPr="00E17F1B">
        <w:rPr>
          <w:b/>
          <w:bCs/>
        </w:rPr>
        <w:t>wareness</w:t>
      </w:r>
      <w:r w:rsidRPr="00E17F1B">
        <w:t xml:space="preserve">: Self-advocacy raises awareness about the </w:t>
      </w:r>
      <w:r w:rsidR="001B4BAB">
        <w:t>person with disability</w:t>
      </w:r>
      <w:r w:rsidR="001327AA">
        <w:t>’</w:t>
      </w:r>
      <w:r w:rsidRPr="00E17F1B">
        <w:t xml:space="preserve">s rights and the resources available to them. </w:t>
      </w:r>
      <w:r w:rsidR="00522499" w:rsidRPr="00522499">
        <w:t>This knowledge can be empowering and lead to better utili</w:t>
      </w:r>
      <w:r w:rsidR="006464E1">
        <w:t>s</w:t>
      </w:r>
      <w:r w:rsidR="00522499" w:rsidRPr="00522499">
        <w:t>ation of available supports.</w:t>
      </w:r>
    </w:p>
    <w:p w14:paraId="51E427C5" w14:textId="77777777" w:rsidR="00E31DAC" w:rsidRPr="00E31DAC" w:rsidRDefault="00E31DAC" w:rsidP="00F56CB4">
      <w:pPr>
        <w:spacing w:after="160"/>
      </w:pPr>
    </w:p>
    <w:p w14:paraId="2A51392C" w14:textId="5763609B" w:rsidR="007162AD" w:rsidRDefault="007162AD" w:rsidP="00F56CB4">
      <w:pPr>
        <w:pStyle w:val="Heading2"/>
        <w:spacing w:after="160" w:line="360" w:lineRule="auto"/>
      </w:pPr>
      <w:bookmarkStart w:id="37" w:name="_Toc184414889"/>
      <w:r>
        <w:t>What else is needed</w:t>
      </w:r>
      <w:bookmarkEnd w:id="37"/>
    </w:p>
    <w:p w14:paraId="715C9ECA" w14:textId="33C6923C" w:rsidR="0075316A" w:rsidRDefault="0075316A" w:rsidP="001B3665">
      <w:pPr>
        <w:spacing w:after="160"/>
      </w:pPr>
      <w:r>
        <w:t xml:space="preserve">Our peer connectors </w:t>
      </w:r>
      <w:r w:rsidR="00604827">
        <w:t>were quick to identify areas for improvement regarding support for self-advocacy</w:t>
      </w:r>
      <w:r w:rsidR="0025613D">
        <w:t xml:space="preserve"> that cross over into other critically important forms of advocacy support</w:t>
      </w:r>
      <w:r w:rsidR="00604827">
        <w:t xml:space="preserve">. </w:t>
      </w:r>
      <w:r w:rsidR="006915D6">
        <w:t>T</w:t>
      </w:r>
      <w:r w:rsidR="00FF1E73">
        <w:t xml:space="preserve">his reinforces why a genuine co-design process would be so beneficial in developing Foundational Supports. Below, we draw out </w:t>
      </w:r>
      <w:r w:rsidR="001B3665">
        <w:t>these themes in more detail.</w:t>
      </w:r>
    </w:p>
    <w:p w14:paraId="36C1ED4E" w14:textId="77777777" w:rsidR="007F23C3" w:rsidRPr="0075316A" w:rsidRDefault="007F23C3" w:rsidP="001B3665">
      <w:pPr>
        <w:spacing w:after="160"/>
      </w:pPr>
    </w:p>
    <w:p w14:paraId="12284748" w14:textId="1C1CDA36" w:rsidR="008C79B6" w:rsidRDefault="00A93562" w:rsidP="001B3665">
      <w:pPr>
        <w:pStyle w:val="Heading3"/>
        <w:spacing w:after="160" w:line="360" w:lineRule="auto"/>
        <w:ind w:left="1571" w:hanging="851"/>
      </w:pPr>
      <w:bookmarkStart w:id="38" w:name="_Toc184414890"/>
      <w:r>
        <w:t>Recognise s</w:t>
      </w:r>
      <w:r w:rsidR="008C79B6">
        <w:t>trong link</w:t>
      </w:r>
      <w:r w:rsidR="00782664">
        <w:t>s</w:t>
      </w:r>
      <w:r w:rsidR="008C79B6">
        <w:t xml:space="preserve"> </w:t>
      </w:r>
      <w:r w:rsidR="00782664">
        <w:t>between all forms of advocacy</w:t>
      </w:r>
      <w:bookmarkEnd w:id="38"/>
    </w:p>
    <w:p w14:paraId="65772F4F" w14:textId="7C64EB81" w:rsidR="00C73AE3" w:rsidRDefault="00C73AE3" w:rsidP="00C73AE3">
      <w:pPr>
        <w:spacing w:after="160"/>
      </w:pPr>
      <w:r>
        <w:t xml:space="preserve">Independent individual advocacy services </w:t>
      </w:r>
      <w:r w:rsidRPr="00575135">
        <w:t xml:space="preserve">can help </w:t>
      </w:r>
      <w:r>
        <w:t>people with disability</w:t>
      </w:r>
      <w:r w:rsidRPr="00575135">
        <w:t xml:space="preserve"> navigate complex systems and ensure their voices are heard</w:t>
      </w:r>
      <w:r>
        <w:t xml:space="preserve">. All people with disability should have access to high-quality, well-resourced, independent individual advocacy services. This professional support is essential for protecting the human rights and wellbeing of people with disability when they experience problems with governments, services, providers, workers, </w:t>
      </w:r>
      <w:r w:rsidR="00C9716E">
        <w:t>or</w:t>
      </w:r>
      <w:r>
        <w:t xml:space="preserve"> similar. </w:t>
      </w:r>
    </w:p>
    <w:p w14:paraId="0F155530" w14:textId="6F2B6565" w:rsidR="00EC3C3F" w:rsidRDefault="003B31AD" w:rsidP="00B2144D">
      <w:pPr>
        <w:spacing w:after="160"/>
      </w:pPr>
      <w:r>
        <w:t>W</w:t>
      </w:r>
      <w:r w:rsidR="00815B0C">
        <w:t>hil</w:t>
      </w:r>
      <w:r>
        <w:t>e</w:t>
      </w:r>
      <w:r w:rsidR="00815B0C">
        <w:t xml:space="preserve"> we understand </w:t>
      </w:r>
      <w:r w:rsidR="00421ADE">
        <w:t xml:space="preserve">this consultation does not seek views on </w:t>
      </w:r>
      <w:r w:rsidR="00F150BE">
        <w:t xml:space="preserve">independent </w:t>
      </w:r>
      <w:r w:rsidR="003E2EF9">
        <w:t xml:space="preserve">individual </w:t>
      </w:r>
      <w:r w:rsidR="00F150BE">
        <w:t>advocacy</w:t>
      </w:r>
      <w:r w:rsidR="003E2EF9">
        <w:t xml:space="preserve"> services</w:t>
      </w:r>
      <w:r w:rsidR="00F150BE">
        <w:t xml:space="preserve">, </w:t>
      </w:r>
      <w:r w:rsidR="007458B3">
        <w:t>our peer networks told us</w:t>
      </w:r>
      <w:r w:rsidR="00575135">
        <w:t xml:space="preserve"> </w:t>
      </w:r>
      <w:r w:rsidR="00575135" w:rsidRPr="00575135">
        <w:t xml:space="preserve">access to </w:t>
      </w:r>
      <w:r w:rsidR="007458B3">
        <w:t>independent</w:t>
      </w:r>
      <w:r w:rsidR="00575135" w:rsidRPr="00575135">
        <w:t xml:space="preserve"> </w:t>
      </w:r>
      <w:r w:rsidR="003E2EF9">
        <w:t xml:space="preserve">professional </w:t>
      </w:r>
      <w:r w:rsidR="00575135" w:rsidRPr="00575135">
        <w:t xml:space="preserve">advocates, especially in regional areas, </w:t>
      </w:r>
      <w:r w:rsidR="007244C1">
        <w:t xml:space="preserve">cannot be divorced from self-advocacy. </w:t>
      </w:r>
      <w:r w:rsidR="00232277">
        <w:t xml:space="preserve">Many </w:t>
      </w:r>
      <w:r w:rsidR="00A00CC3">
        <w:t>shared</w:t>
      </w:r>
      <w:r w:rsidR="00232277">
        <w:t xml:space="preserve"> experiences </w:t>
      </w:r>
      <w:r w:rsidR="00A00CC3">
        <w:t>reflecting on</w:t>
      </w:r>
      <w:r w:rsidR="00232277">
        <w:t xml:space="preserve"> how accessing </w:t>
      </w:r>
      <w:r w:rsidR="00384F98">
        <w:t xml:space="preserve">professional </w:t>
      </w:r>
      <w:r w:rsidR="00E22231">
        <w:t xml:space="preserve">advocacy </w:t>
      </w:r>
      <w:r w:rsidR="00232277">
        <w:t>support on one occasion had helped them</w:t>
      </w:r>
      <w:r w:rsidR="007228E7">
        <w:t xml:space="preserve"> to not only resolve that </w:t>
      </w:r>
      <w:r w:rsidR="00E22231">
        <w:t>problem</w:t>
      </w:r>
      <w:r w:rsidR="007228E7">
        <w:t xml:space="preserve">, but to build their skills and confidence to </w:t>
      </w:r>
      <w:r w:rsidR="00384F98">
        <w:lastRenderedPageBreak/>
        <w:t xml:space="preserve">deal with new </w:t>
      </w:r>
      <w:r w:rsidR="00E22231">
        <w:t>issues</w:t>
      </w:r>
      <w:r w:rsidR="00384F98">
        <w:t xml:space="preserve"> </w:t>
      </w:r>
      <w:r w:rsidR="0053794B">
        <w:t>later</w:t>
      </w:r>
      <w:r w:rsidR="00384F98">
        <w:t xml:space="preserve">. </w:t>
      </w:r>
      <w:r w:rsidR="0053794B">
        <w:t xml:space="preserve">They emphasised that </w:t>
      </w:r>
      <w:r w:rsidR="00D44C77">
        <w:t xml:space="preserve">support for </w:t>
      </w:r>
      <w:r w:rsidR="0053794B">
        <w:t xml:space="preserve">all forms of advocacy – </w:t>
      </w:r>
      <w:r w:rsidR="00352AC0">
        <w:t>including</w:t>
      </w:r>
      <w:r w:rsidR="0053794B">
        <w:t xml:space="preserve"> independent professional individual advocacy, </w:t>
      </w:r>
      <w:r w:rsidR="00D44C77">
        <w:t xml:space="preserve">systemic advocacy, representative or peer group advocacy, and self-advocacy – should </w:t>
      </w:r>
      <w:r w:rsidR="00170049">
        <w:t xml:space="preserve">be </w:t>
      </w:r>
      <w:r w:rsidR="00D44C77">
        <w:t>part of a holistic approach to supporting independence</w:t>
      </w:r>
      <w:r w:rsidR="00876DA3">
        <w:t xml:space="preserve"> and choice and control</w:t>
      </w:r>
      <w:r w:rsidR="00170049">
        <w:t xml:space="preserve"> with a Foundation</w:t>
      </w:r>
      <w:r w:rsidR="00B67C74">
        <w:t>al</w:t>
      </w:r>
      <w:r w:rsidR="00170049">
        <w:t xml:space="preserve"> Supports Strategy</w:t>
      </w:r>
      <w:r w:rsidR="00876DA3">
        <w:t xml:space="preserve">. </w:t>
      </w:r>
    </w:p>
    <w:p w14:paraId="4071BCD9" w14:textId="766DBA6A" w:rsidR="00EC3C3F" w:rsidRDefault="003A2277" w:rsidP="00F56CB4">
      <w:pPr>
        <w:spacing w:after="160"/>
      </w:pPr>
      <w:r>
        <w:t xml:space="preserve">Similarly, peer connectors highlighted the link between self-advocacy and representative and peer group advocacy. </w:t>
      </w:r>
      <w:r w:rsidR="00EC3C3F">
        <w:t xml:space="preserve">JFA Purple Orange has been supporting peer networks since 2016 and we are </w:t>
      </w:r>
      <w:r w:rsidR="00BF3D64">
        <w:t>frequently</w:t>
      </w:r>
      <w:r w:rsidR="00EC3C3F">
        <w:t xml:space="preserve"> reminded of their importance to the disability community. </w:t>
      </w:r>
      <w:r w:rsidR="0090332A">
        <w:t>In addition to building individuals’ skills and confidence in self-advocacy, these networks also provide a</w:t>
      </w:r>
      <w:r w:rsidR="00747B68">
        <w:t xml:space="preserve"> valuable</w:t>
      </w:r>
      <w:r w:rsidR="0090332A">
        <w:t xml:space="preserve"> forum for </w:t>
      </w:r>
      <w:r w:rsidR="00337DD3">
        <w:t>people with shared experiences to advocate</w:t>
      </w:r>
      <w:r w:rsidR="00244F97">
        <w:t xml:space="preserve"> as a group. </w:t>
      </w:r>
      <w:r w:rsidR="00240A1C">
        <w:t xml:space="preserve">For example, </w:t>
      </w:r>
      <w:r w:rsidR="003E5A96">
        <w:t xml:space="preserve">federal and state government agencies </w:t>
      </w:r>
      <w:r w:rsidR="00535870">
        <w:t>often approach</w:t>
      </w:r>
      <w:r w:rsidR="003E5A96">
        <w:t xml:space="preserve"> our peer networks</w:t>
      </w:r>
      <w:r w:rsidR="00535870">
        <w:t xml:space="preserve"> to provide input into </w:t>
      </w:r>
      <w:r w:rsidR="006D6C36">
        <w:t xml:space="preserve">the design and implementation of </w:t>
      </w:r>
      <w:r w:rsidR="00264F91">
        <w:t xml:space="preserve">laws, </w:t>
      </w:r>
      <w:r w:rsidR="006D6C36">
        <w:t>policies</w:t>
      </w:r>
      <w:r w:rsidR="00D873BB">
        <w:t>,</w:t>
      </w:r>
      <w:r w:rsidR="00264F91">
        <w:t xml:space="preserve"> and </w:t>
      </w:r>
      <w:r w:rsidR="006D6C36">
        <w:t>projects</w:t>
      </w:r>
      <w:r w:rsidR="00264F91">
        <w:t>.</w:t>
      </w:r>
      <w:r w:rsidR="006D6C36">
        <w:t xml:space="preserve"> </w:t>
      </w:r>
      <w:r w:rsidR="003402C3">
        <w:t xml:space="preserve">Our networks also organise meetings with key stakeholders, including </w:t>
      </w:r>
      <w:r w:rsidR="00103436">
        <w:t xml:space="preserve">federal </w:t>
      </w:r>
      <w:r w:rsidR="00D873BB">
        <w:t xml:space="preserve">and state </w:t>
      </w:r>
      <w:r w:rsidR="00103436">
        <w:t>ministers</w:t>
      </w:r>
      <w:r w:rsidR="00240A1C">
        <w:t>, and sometimes draft submissions or engage with the media on topical issues.</w:t>
      </w:r>
      <w:r w:rsidR="0016721E">
        <w:t xml:space="preserve"> This builds</w:t>
      </w:r>
      <w:r w:rsidR="00167143">
        <w:t xml:space="preserve"> self-advocacy skills that are then applied elsewhere.</w:t>
      </w:r>
    </w:p>
    <w:p w14:paraId="48EEAF1F" w14:textId="7B0230D7" w:rsidR="006E4C48" w:rsidRDefault="00705BF4" w:rsidP="006E4C48">
      <w:pPr>
        <w:spacing w:after="160"/>
      </w:pPr>
      <w:r>
        <w:t xml:space="preserve">This type of advocacy </w:t>
      </w:r>
      <w:r w:rsidR="00A37EF8">
        <w:t>can</w:t>
      </w:r>
      <w:r>
        <w:t xml:space="preserve"> be termed </w:t>
      </w:r>
      <w:r w:rsidR="00A37EF8">
        <w:t>representative and peer group advocacy</w:t>
      </w:r>
      <w:r w:rsidR="007A0D21">
        <w:t>.</w:t>
      </w:r>
      <w:r>
        <w:t xml:space="preserve"> </w:t>
      </w:r>
      <w:r w:rsidR="007A0D21">
        <w:t xml:space="preserve">It is separate from systemic advocacy led by peak organisations, individual advocacy provided by professional advocates, and </w:t>
      </w:r>
      <w:r w:rsidR="00930775">
        <w:t xml:space="preserve">self-advocacy that is individually executed. </w:t>
      </w:r>
      <w:r w:rsidR="00892DB8">
        <w:t>But it is no less important in empowering people to advocate for their rights</w:t>
      </w:r>
      <w:r w:rsidR="00BD0853">
        <w:t xml:space="preserve">. Indeed, we hear from many peer group members </w:t>
      </w:r>
      <w:r w:rsidR="006E4C48">
        <w:t xml:space="preserve">about </w:t>
      </w:r>
      <w:r w:rsidR="00BD0853">
        <w:t xml:space="preserve">how the encouragement of others in the group has </w:t>
      </w:r>
      <w:r w:rsidR="001260CE">
        <w:t xml:space="preserve">been instrumental in them speaking up for their rights and choices. </w:t>
      </w:r>
      <w:r w:rsidR="006E4C48">
        <w:t>It is</w:t>
      </w:r>
      <w:r w:rsidR="00183AB3">
        <w:t>,</w:t>
      </w:r>
      <w:r w:rsidR="006E4C48">
        <w:t xml:space="preserve"> therefore</w:t>
      </w:r>
      <w:r w:rsidR="00183AB3">
        <w:t>,</w:t>
      </w:r>
      <w:r w:rsidR="006E4C48">
        <w:t xml:space="preserve"> important for Foundational Supports to facilitate this type of group advocacy. This is a valuable way for people with disability to have a </w:t>
      </w:r>
      <w:r w:rsidR="00985936">
        <w:t xml:space="preserve">collective </w:t>
      </w:r>
      <w:r w:rsidR="006E4C48">
        <w:t xml:space="preserve">voice and proactively influence decision-making that affects their lives. </w:t>
      </w:r>
      <w:r w:rsidR="00985936">
        <w:t>It</w:t>
      </w:r>
      <w:r w:rsidR="006E4C48">
        <w:t xml:space="preserve"> also helps to ensure that government systems, policies</w:t>
      </w:r>
      <w:r w:rsidR="00985936">
        <w:t>,</w:t>
      </w:r>
      <w:r w:rsidR="006E4C48">
        <w:t xml:space="preserve"> and processes are inclusive and accessible. Having a voice and being heard </w:t>
      </w:r>
      <w:r w:rsidR="00985936">
        <w:t>are</w:t>
      </w:r>
      <w:r w:rsidR="006E4C48">
        <w:t xml:space="preserve"> essential to meaningful membership of one’s community.</w:t>
      </w:r>
    </w:p>
    <w:p w14:paraId="2FD2A91E" w14:textId="1691B3BF" w:rsidR="001C6DC4" w:rsidRDefault="00B40FB2" w:rsidP="009A27CA">
      <w:pPr>
        <w:spacing w:after="160"/>
      </w:pPr>
      <w:r>
        <w:t xml:space="preserve">The value of these services for connecting people to community, building the capacity to self-advocate, and providing an essential safeguard cannot be overstated. In South Australia, the tragic deaths of Ann Marie Smith in 2020 and </w:t>
      </w:r>
      <w:r w:rsidRPr="00992F2E">
        <w:t>Tegan Fredericks</w:t>
      </w:r>
      <w:r>
        <w:t xml:space="preserve"> earlier this year have highlighted the need for establishing better safeguards, as well as the importance of community connections to assist with advocating and supporting people with disability, particularly those experiencing isolation. As mentioned above, community connections </w:t>
      </w:r>
      <w:r>
        <w:lastRenderedPageBreak/>
        <w:t xml:space="preserve">serve as an important informal safeguard, as community members would notice and check in if the person was unexpectedly absent. </w:t>
      </w:r>
      <w:r w:rsidR="00670F76">
        <w:t xml:space="preserve">Informal or natural safeguards </w:t>
      </w:r>
      <w:r w:rsidR="00433DFD">
        <w:t xml:space="preserve">are essential protections alongside the formal safeguards that often attract more attention. </w:t>
      </w:r>
    </w:p>
    <w:p w14:paraId="5423E9B3" w14:textId="77777777" w:rsidR="007F23C3" w:rsidRDefault="007F23C3" w:rsidP="009A27CA">
      <w:pPr>
        <w:spacing w:after="160"/>
      </w:pPr>
    </w:p>
    <w:p w14:paraId="29E8A7EB" w14:textId="7B26A795" w:rsidR="009A27CA" w:rsidRDefault="009A27CA" w:rsidP="009A27CA">
      <w:pPr>
        <w:pStyle w:val="Heading3"/>
        <w:spacing w:after="160" w:line="360" w:lineRule="auto"/>
        <w:ind w:left="1225" w:hanging="505"/>
      </w:pPr>
      <w:bookmarkStart w:id="39" w:name="_Toc184414891"/>
      <w:r>
        <w:t>Establish a holistic advocacy framework within Foundational Supports</w:t>
      </w:r>
      <w:bookmarkEnd w:id="39"/>
    </w:p>
    <w:p w14:paraId="454B47D0" w14:textId="784D8DF4" w:rsidR="002F2FFD" w:rsidRDefault="00690DB9" w:rsidP="00690DB9">
      <w:pPr>
        <w:spacing w:after="160"/>
      </w:pPr>
      <w:r>
        <w:t xml:space="preserve">When creating a unified disability eco-system, governments must ensure that adequate funding is available to appropriate entities, organisations, or groups </w:t>
      </w:r>
      <w:r w:rsidR="00023CC7">
        <w:t>for all forms of advocacy</w:t>
      </w:r>
      <w:r w:rsidR="00306E67">
        <w:t>. S</w:t>
      </w:r>
      <w:r>
        <w:t xml:space="preserve">elf-advocacy is not always an immediate possibility in </w:t>
      </w:r>
      <w:r w:rsidR="00306E67">
        <w:t>all</w:t>
      </w:r>
      <w:r>
        <w:t xml:space="preserve"> circumstances</w:t>
      </w:r>
      <w:r w:rsidR="00306E67">
        <w:t xml:space="preserve"> and a holistic approach will prevent </w:t>
      </w:r>
      <w:r w:rsidR="003E51D3">
        <w:t>people falling through the cracks</w:t>
      </w:r>
      <w:r>
        <w:t>. As the NDIS Review found, ‘a</w:t>
      </w:r>
      <w:r w:rsidRPr="00E1344B">
        <w:t xml:space="preserve">dvocacy supports </w:t>
      </w:r>
      <w:r>
        <w:t xml:space="preserve">… </w:t>
      </w:r>
      <w:r w:rsidRPr="00E1344B">
        <w:t>promote and protect human rights for people with disability, including resolving complex challenges that people are unlikely to resolve on their own and may need assistance with</w:t>
      </w:r>
      <w:r>
        <w:t>.’</w:t>
      </w:r>
      <w:r>
        <w:rPr>
          <w:rStyle w:val="FootnoteReference"/>
        </w:rPr>
        <w:footnoteReference w:id="30"/>
      </w:r>
      <w:r>
        <w:t xml:space="preserve"> </w:t>
      </w:r>
      <w:r w:rsidR="00F16FB8">
        <w:t>Support for self-advocac</w:t>
      </w:r>
      <w:r w:rsidR="00607E2A">
        <w:t>y</w:t>
      </w:r>
      <w:r w:rsidR="00F16FB8">
        <w:t xml:space="preserve"> is important but insufficient on its own.</w:t>
      </w:r>
    </w:p>
    <w:p w14:paraId="05FC43B1" w14:textId="167AD541" w:rsidR="00690DB9" w:rsidRDefault="00607E2A" w:rsidP="00690DB9">
      <w:pPr>
        <w:spacing w:after="160"/>
      </w:pPr>
      <w:r>
        <w:t xml:space="preserve">As described above, it is impossible to separate support for </w:t>
      </w:r>
      <w:r w:rsidR="00136BD0">
        <w:t>individual and representative or peer group advocacy from self-advocacy. Likewise, a</w:t>
      </w:r>
      <w:r w:rsidR="00F33816">
        <w:t xml:space="preserve"> </w:t>
      </w:r>
      <w:r w:rsidR="00690DB9">
        <w:t>diverse range of systemic advocacy organisations should have the capacity to independently monitor the issues affecting people with disability, promote their rights, and advocate for change to enhance their life chances. Importantly, independent disability advocacy also strengthens the range of voices able to speak up when things are not working properly and ensure the best value is obtained from government investments in a wide range of services and programs.</w:t>
      </w:r>
    </w:p>
    <w:p w14:paraId="39BD8C48" w14:textId="3AC443D3" w:rsidR="00690DB9" w:rsidRPr="003B31AD" w:rsidRDefault="002612F7" w:rsidP="00690DB9">
      <w:pPr>
        <w:spacing w:after="160"/>
      </w:pPr>
      <w:r>
        <w:t>Unfortunately, c</w:t>
      </w:r>
      <w:r w:rsidR="00690DB9">
        <w:t>onsecutive South Australian Governments have failed to provide meaningful support for</w:t>
      </w:r>
      <w:r>
        <w:t xml:space="preserve"> any form of</w:t>
      </w:r>
      <w:r w:rsidR="00690DB9">
        <w:t xml:space="preserve"> independent advocacy services in the state for many years. In 2020, after the tragic death of Ann Marie Smith, the former Marshall Government committed funding of $400,000 per year </w:t>
      </w:r>
      <w:r w:rsidR="00690DB9" w:rsidRPr="003B31AD">
        <w:t xml:space="preserve">over three years for one state-wide independent individual advocacy service. This funding </w:t>
      </w:r>
      <w:r w:rsidR="00F00635">
        <w:t>wa</w:t>
      </w:r>
      <w:r w:rsidR="00690DB9" w:rsidRPr="003B31AD">
        <w:t xml:space="preserve">s significantly below what </w:t>
      </w:r>
      <w:r w:rsidR="00F00635">
        <w:t>was</w:t>
      </w:r>
      <w:r w:rsidR="00690DB9" w:rsidRPr="003B31AD">
        <w:t xml:space="preserve"> needed to meet deman</w:t>
      </w:r>
      <w:r w:rsidR="00690DB9">
        <w:t>d</w:t>
      </w:r>
      <w:r w:rsidR="00F00635">
        <w:t xml:space="preserve"> and remains so</w:t>
      </w:r>
      <w:r w:rsidR="00690DB9" w:rsidRPr="003B31AD">
        <w:t xml:space="preserve">. Additionally, for people in regional, rural, and remote areas, there are no </w:t>
      </w:r>
      <w:r w:rsidR="00F00635">
        <w:t xml:space="preserve">state-funded </w:t>
      </w:r>
      <w:r w:rsidR="00690DB9" w:rsidRPr="003B31AD">
        <w:t xml:space="preserve">face-to-face services, even though these residents often require more </w:t>
      </w:r>
      <w:r w:rsidR="00690DB9" w:rsidRPr="003B31AD">
        <w:lastRenderedPageBreak/>
        <w:t xml:space="preserve">advocacy support due to the additional barriers to accessing the services they need because of limited availability and greater distances to travel. </w:t>
      </w:r>
    </w:p>
    <w:p w14:paraId="71009A73" w14:textId="25921EFB" w:rsidR="00E56D51" w:rsidRDefault="00690DB9" w:rsidP="00690DB9">
      <w:pPr>
        <w:spacing w:after="160"/>
      </w:pPr>
      <w:r>
        <w:t>Governments</w:t>
      </w:r>
      <w:r w:rsidRPr="003B31AD">
        <w:t xml:space="preserve"> must ensure that independent advocacy services are available across the whole </w:t>
      </w:r>
      <w:r>
        <w:t>country, including</w:t>
      </w:r>
      <w:r w:rsidRPr="003B31AD">
        <w:t xml:space="preserve"> specialist services for priority groups such as First Nations people, </w:t>
      </w:r>
      <w:r w:rsidR="009D3EE6">
        <w:t xml:space="preserve">people from </w:t>
      </w:r>
      <w:r w:rsidRPr="003B31AD">
        <w:t>CALD</w:t>
      </w:r>
      <w:r w:rsidR="009D3EE6">
        <w:t xml:space="preserve"> backgrounds</w:t>
      </w:r>
      <w:r w:rsidRPr="003B31AD">
        <w:t>, and people with disability who are socially isolated, including those with complex communication needs and those residing in institutional care, aged care facilities, and other ‘closed systems’ like group ho</w:t>
      </w:r>
      <w:r>
        <w:t>uses</w:t>
      </w:r>
      <w:r w:rsidRPr="003B31AD">
        <w:t>.</w:t>
      </w:r>
      <w:r>
        <w:t xml:space="preserve"> </w:t>
      </w:r>
    </w:p>
    <w:p w14:paraId="37BB7BBA" w14:textId="7CEED224" w:rsidR="00690DB9" w:rsidRDefault="00690DB9" w:rsidP="00690DB9">
      <w:pPr>
        <w:spacing w:after="160"/>
      </w:pPr>
      <w:r>
        <w:t xml:space="preserve">While we acknowledge the work to redesign the National Disability Advocacy Framework, we believe the Foundational Supports Strategy should also play a role in reinforcing the critical importance of the shared federal and state funding responsibility for independent disability advocacy. The South Australian Government should be held accountable for its ongoing failures in this policy area. We also highlight that disability advocates are one of the many sector cohorts who must be better trained in Supported Decision-Making approaches. </w:t>
      </w:r>
    </w:p>
    <w:p w14:paraId="3C33F1A1" w14:textId="0D441A8E" w:rsidR="00F4315E" w:rsidRPr="004500E1" w:rsidRDefault="00F4315E" w:rsidP="00F56CB4">
      <w:pPr>
        <w:spacing w:after="160"/>
        <w:rPr>
          <w:b/>
        </w:rPr>
      </w:pPr>
      <w:bookmarkStart w:id="40" w:name="_Hlk184408996"/>
      <w:r w:rsidRPr="00CA2A2F">
        <w:rPr>
          <w:rStyle w:val="Heading4Char"/>
        </w:rPr>
        <w:t>Recommendation 14:</w:t>
      </w:r>
      <w:r>
        <w:rPr>
          <w:b/>
          <w:bCs/>
          <w:color w:val="7030A0"/>
        </w:rPr>
        <w:t xml:space="preserve"> </w:t>
      </w:r>
      <w:r w:rsidRPr="00125104">
        <w:rPr>
          <w:b/>
          <w:bCs/>
        </w:rPr>
        <w:t xml:space="preserve">The </w:t>
      </w:r>
      <w:r>
        <w:rPr>
          <w:b/>
          <w:bCs/>
        </w:rPr>
        <w:t>Australian Government</w:t>
      </w:r>
      <w:r w:rsidRPr="00125104">
        <w:rPr>
          <w:b/>
          <w:bCs/>
        </w:rPr>
        <w:t xml:space="preserve"> </w:t>
      </w:r>
      <w:r>
        <w:rPr>
          <w:b/>
          <w:bCs/>
        </w:rPr>
        <w:t>should</w:t>
      </w:r>
      <w:r w:rsidRPr="00403612">
        <w:rPr>
          <w:b/>
          <w:bCs/>
        </w:rPr>
        <w:t xml:space="preserve"> </w:t>
      </w:r>
      <w:r>
        <w:rPr>
          <w:b/>
          <w:bCs/>
        </w:rPr>
        <w:t xml:space="preserve">ensure the Foundational Supports Strategy clearly articulates the critical importance of shared federal and state and territory funding for independent disability advocacy services and supports across all </w:t>
      </w:r>
      <w:r w:rsidR="00020304">
        <w:rPr>
          <w:b/>
          <w:bCs/>
        </w:rPr>
        <w:t xml:space="preserve">forms </w:t>
      </w:r>
      <w:r>
        <w:rPr>
          <w:b/>
          <w:bCs/>
        </w:rPr>
        <w:t xml:space="preserve">of advocacy: self-advocacy, professional individual advocacy services, representative and peer group advocacy, and systemic advocacy. This should align with and complement work regarding existing advocacy funding programs, including the National Disability Advocacy </w:t>
      </w:r>
      <w:r w:rsidR="006249D8">
        <w:rPr>
          <w:b/>
          <w:bCs/>
        </w:rPr>
        <w:t>Framework</w:t>
      </w:r>
      <w:r>
        <w:rPr>
          <w:b/>
          <w:bCs/>
        </w:rPr>
        <w:t>, as well as ensuring State Governments adequately fulfil their existing funding responsibilities</w:t>
      </w:r>
      <w:r w:rsidRPr="00403612">
        <w:rPr>
          <w:b/>
          <w:bCs/>
        </w:rPr>
        <w:t>.</w:t>
      </w:r>
      <w:r>
        <w:rPr>
          <w:b/>
          <w:bCs/>
        </w:rPr>
        <w:t xml:space="preserve"> </w:t>
      </w:r>
    </w:p>
    <w:p w14:paraId="1A825539" w14:textId="6FD70B06" w:rsidR="001044BE" w:rsidRDefault="003279C7" w:rsidP="00F56CB4">
      <w:pPr>
        <w:spacing w:after="160"/>
        <w:rPr>
          <w:b/>
          <w:bCs/>
        </w:rPr>
      </w:pPr>
      <w:r w:rsidRPr="004D62C0">
        <w:rPr>
          <w:rStyle w:val="Heading4Char"/>
        </w:rPr>
        <w:t>Recommendation</w:t>
      </w:r>
      <w:r w:rsidR="004D62C0" w:rsidRPr="004D62C0">
        <w:rPr>
          <w:rStyle w:val="Heading4Char"/>
        </w:rPr>
        <w:t xml:space="preserve"> 15</w:t>
      </w:r>
      <w:r w:rsidRPr="004D62C0">
        <w:rPr>
          <w:rStyle w:val="Heading4Char"/>
        </w:rPr>
        <w:t>:</w:t>
      </w:r>
      <w:r>
        <w:rPr>
          <w:b/>
          <w:bCs/>
          <w:color w:val="7030A0"/>
        </w:rPr>
        <w:t xml:space="preserve"> </w:t>
      </w:r>
      <w:r w:rsidR="00E32C49">
        <w:rPr>
          <w:b/>
          <w:bCs/>
        </w:rPr>
        <w:t>Federal and State and Territory Governments</w:t>
      </w:r>
      <w:r w:rsidR="00E32C49" w:rsidRPr="00125104">
        <w:rPr>
          <w:b/>
          <w:bCs/>
        </w:rPr>
        <w:t xml:space="preserve"> </w:t>
      </w:r>
      <w:r w:rsidR="00E32C49">
        <w:rPr>
          <w:b/>
          <w:bCs/>
        </w:rPr>
        <w:t xml:space="preserve">should </w:t>
      </w:r>
      <w:r w:rsidR="0030385E">
        <w:rPr>
          <w:b/>
          <w:bCs/>
        </w:rPr>
        <w:t xml:space="preserve">fund </w:t>
      </w:r>
      <w:r w:rsidR="00522227">
        <w:rPr>
          <w:b/>
          <w:bCs/>
        </w:rPr>
        <w:t>Foundational Supports</w:t>
      </w:r>
      <w:r w:rsidR="0030385E">
        <w:rPr>
          <w:b/>
          <w:bCs/>
        </w:rPr>
        <w:t xml:space="preserve"> initiatives to </w:t>
      </w:r>
      <w:r w:rsidR="005363F3">
        <w:rPr>
          <w:b/>
          <w:bCs/>
        </w:rPr>
        <w:t xml:space="preserve">build </w:t>
      </w:r>
      <w:r w:rsidR="001A7EF4">
        <w:rPr>
          <w:b/>
          <w:bCs/>
        </w:rPr>
        <w:t>the skills</w:t>
      </w:r>
      <w:r w:rsidR="00522227">
        <w:rPr>
          <w:b/>
          <w:bCs/>
        </w:rPr>
        <w:t xml:space="preserve"> </w:t>
      </w:r>
      <w:r w:rsidR="00226387">
        <w:rPr>
          <w:b/>
          <w:bCs/>
        </w:rPr>
        <w:t xml:space="preserve">and confidence of people with disability to </w:t>
      </w:r>
      <w:r w:rsidR="00261D97">
        <w:rPr>
          <w:b/>
          <w:bCs/>
        </w:rPr>
        <w:t xml:space="preserve">engage in </w:t>
      </w:r>
      <w:r w:rsidR="005363F3">
        <w:rPr>
          <w:b/>
          <w:bCs/>
        </w:rPr>
        <w:t>self-</w:t>
      </w:r>
      <w:r w:rsidR="00261D97">
        <w:rPr>
          <w:b/>
          <w:bCs/>
        </w:rPr>
        <w:t xml:space="preserve">advocacy </w:t>
      </w:r>
      <w:r w:rsidR="005363F3">
        <w:rPr>
          <w:b/>
          <w:bCs/>
        </w:rPr>
        <w:t>regarding</w:t>
      </w:r>
      <w:r w:rsidR="00261D97">
        <w:rPr>
          <w:b/>
          <w:bCs/>
        </w:rPr>
        <w:t xml:space="preserve"> issues that affect their lives.</w:t>
      </w:r>
      <w:r w:rsidR="00522227">
        <w:rPr>
          <w:b/>
          <w:bCs/>
        </w:rPr>
        <w:t xml:space="preserve"> </w:t>
      </w:r>
      <w:bookmarkEnd w:id="40"/>
      <w:r w:rsidR="00522227">
        <w:rPr>
          <w:b/>
          <w:bCs/>
        </w:rPr>
        <w:t xml:space="preserve"> </w:t>
      </w:r>
    </w:p>
    <w:p w14:paraId="4A39E9EA" w14:textId="77777777" w:rsidR="007F23C3" w:rsidRDefault="007F23C3" w:rsidP="00F56CB4">
      <w:pPr>
        <w:spacing w:after="160"/>
        <w:rPr>
          <w:b/>
          <w:bCs/>
        </w:rPr>
      </w:pPr>
    </w:p>
    <w:p w14:paraId="16A26B11" w14:textId="78240711" w:rsidR="00A93562" w:rsidRPr="00FC584D" w:rsidRDefault="00893F3E" w:rsidP="00A93562">
      <w:pPr>
        <w:pStyle w:val="Heading3"/>
        <w:spacing w:after="160" w:line="360" w:lineRule="auto"/>
        <w:ind w:left="1571" w:hanging="851"/>
      </w:pPr>
      <w:bookmarkStart w:id="41" w:name="_Toc184414892"/>
      <w:r>
        <w:t>Embed S</w:t>
      </w:r>
      <w:r w:rsidR="00A93562">
        <w:t>upported Decision-Making approaches</w:t>
      </w:r>
      <w:bookmarkEnd w:id="41"/>
    </w:p>
    <w:p w14:paraId="6FF22CE3" w14:textId="77777777" w:rsidR="00A93562" w:rsidRPr="00FC584D" w:rsidRDefault="00A93562" w:rsidP="00A93562">
      <w:pPr>
        <w:spacing w:after="160"/>
      </w:pPr>
      <w:r>
        <w:t xml:space="preserve">Too many people with disability are denied the opportunity to self-advocate because they have been deemed to not have the ‘capacity’ to make decisions. </w:t>
      </w:r>
      <w:r w:rsidRPr="00FC584D">
        <w:t xml:space="preserve">Canadian Associate </w:t>
      </w:r>
      <w:r w:rsidRPr="00FC584D">
        <w:lastRenderedPageBreak/>
        <w:t>Professor of Law Faisal Bhaba eloquently encapsulates the implications of stripping people with disability of their right under Article 12 of the UNCPRD to make decisions:  </w:t>
      </w:r>
    </w:p>
    <w:p w14:paraId="38B0E5C5" w14:textId="77777777" w:rsidR="00A93562" w:rsidRPr="008C2339" w:rsidRDefault="00A93562" w:rsidP="00A93562">
      <w:pPr>
        <w:spacing w:after="160"/>
        <w:ind w:left="720" w:right="720"/>
      </w:pPr>
      <w:r w:rsidRPr="008C2339">
        <w:t>Yielding decision making authority over one’s own life, even “voluntarily,” can have a profound impact on one’s sense of identity, self-worth and independence. The power of decision is an essential aspect of having control over one’s life. Even where the decision being made is not necessarily the correct decision, or the best among possible options, there may still be value in being free to make “bad” decisions. Indeed, there is freedom in directing one’s life and there is value in having the opportunity to learn from experience.</w:t>
      </w:r>
      <w:r w:rsidRPr="008C2339">
        <w:rPr>
          <w:rStyle w:val="FootnoteReference"/>
        </w:rPr>
        <w:footnoteReference w:id="31"/>
      </w:r>
    </w:p>
    <w:p w14:paraId="756B8038" w14:textId="7B5DA0A9" w:rsidR="00A93562" w:rsidRPr="008079F0" w:rsidRDefault="00A93562" w:rsidP="00A93562">
      <w:pPr>
        <w:spacing w:after="160"/>
      </w:pPr>
      <w:r>
        <w:rPr>
          <w:lang w:val="en-US"/>
        </w:rPr>
        <w:t>Foundational Supports should include the provision of ‘</w:t>
      </w:r>
      <w:r w:rsidRPr="00F96D7E">
        <w:rPr>
          <w:bCs/>
        </w:rPr>
        <w:t>information, education</w:t>
      </w:r>
      <w:r>
        <w:rPr>
          <w:bCs/>
        </w:rPr>
        <w:t>,</w:t>
      </w:r>
      <w:r w:rsidRPr="00F96D7E">
        <w:rPr>
          <w:bCs/>
        </w:rPr>
        <w:t xml:space="preserve"> and training on supported decision-making to people requiring supported decision-making and their families, private supporters and representatives (present or prospective), disability service providers, public agencies, the judiciary, tribunal members and legal representatives</w:t>
      </w:r>
      <w:r>
        <w:rPr>
          <w:bCs/>
        </w:rPr>
        <w:t>’</w:t>
      </w:r>
      <w:r w:rsidR="00B6442A">
        <w:rPr>
          <w:bCs/>
        </w:rPr>
        <w:t xml:space="preserve">, a need identified in </w:t>
      </w:r>
      <w:r w:rsidR="00B6442A">
        <w:rPr>
          <w:lang w:val="en-US"/>
        </w:rPr>
        <w:t>DRC Recommendation 6.13.</w:t>
      </w:r>
      <w:r>
        <w:rPr>
          <w:rStyle w:val="FootnoteReference"/>
          <w:lang w:val="en-US"/>
        </w:rPr>
        <w:footnoteReference w:id="32"/>
      </w:r>
      <w:r w:rsidRPr="008079F0">
        <w:rPr>
          <w:lang w:val="en-US"/>
        </w:rPr>
        <w:t> </w:t>
      </w:r>
      <w:r>
        <w:rPr>
          <w:lang w:val="en-US"/>
        </w:rPr>
        <w:t>An agency other than those at the forefront of perpetuating substitute decision-making approaches should lead this work</w:t>
      </w:r>
      <w:r w:rsidR="005F6459">
        <w:rPr>
          <w:lang w:val="en-US"/>
        </w:rPr>
        <w:t>, ruling out public guardians and advocates</w:t>
      </w:r>
      <w:r>
        <w:rPr>
          <w:lang w:val="en-US"/>
        </w:rPr>
        <w:t>.</w:t>
      </w:r>
      <w:r w:rsidRPr="008079F0">
        <w:t> </w:t>
      </w:r>
      <w:r w:rsidRPr="008079F0">
        <w:rPr>
          <w:lang w:val="en-US"/>
        </w:rPr>
        <w:t>Accessible materials and educational opportunities</w:t>
      </w:r>
      <w:r w:rsidR="00207AA1">
        <w:rPr>
          <w:lang w:val="en-US"/>
        </w:rPr>
        <w:t xml:space="preserve"> about supported decision making</w:t>
      </w:r>
      <w:r w:rsidRPr="008079F0">
        <w:rPr>
          <w:lang w:val="en-US"/>
        </w:rPr>
        <w:t xml:space="preserve"> should also be available to people with disability when</w:t>
      </w:r>
      <w:r>
        <w:rPr>
          <w:lang w:val="en-US"/>
        </w:rPr>
        <w:t>ever</w:t>
      </w:r>
      <w:r w:rsidRPr="008079F0">
        <w:rPr>
          <w:lang w:val="en-US"/>
        </w:rPr>
        <w:t xml:space="preserve"> they </w:t>
      </w:r>
      <w:r>
        <w:rPr>
          <w:lang w:val="en-US"/>
        </w:rPr>
        <w:t>require th</w:t>
      </w:r>
      <w:r w:rsidR="002064F7">
        <w:rPr>
          <w:lang w:val="en-US"/>
        </w:rPr>
        <w:t>is</w:t>
      </w:r>
      <w:r>
        <w:rPr>
          <w:lang w:val="en-US"/>
        </w:rPr>
        <w:t xml:space="preserve"> assistance</w:t>
      </w:r>
      <w:r w:rsidRPr="008079F0">
        <w:rPr>
          <w:lang w:val="en-US"/>
        </w:rPr>
        <w:t>. All materials should be available in Easy Read, screen reader accessible</w:t>
      </w:r>
      <w:r>
        <w:rPr>
          <w:lang w:val="en-US"/>
        </w:rPr>
        <w:t xml:space="preserve"> formats</w:t>
      </w:r>
      <w:r w:rsidRPr="008079F0">
        <w:rPr>
          <w:lang w:val="en-US"/>
        </w:rPr>
        <w:t>, and a range of other printed and digital formats.</w:t>
      </w:r>
    </w:p>
    <w:p w14:paraId="3822D363" w14:textId="1399F145" w:rsidR="00A93562" w:rsidRPr="0058241D" w:rsidRDefault="00A93562" w:rsidP="00A93562">
      <w:pPr>
        <w:spacing w:after="160"/>
      </w:pPr>
      <w:r>
        <w:t>Foundational Supports</w:t>
      </w:r>
      <w:r w:rsidRPr="0058241D">
        <w:t xml:space="preserve"> can be viewed as a mechanism to fund work that assists people in ways that help </w:t>
      </w:r>
      <w:r w:rsidRPr="00275340">
        <w:t>their future decision</w:t>
      </w:r>
      <w:r w:rsidR="00275340">
        <w:t xml:space="preserve"> </w:t>
      </w:r>
      <w:r w:rsidRPr="00275340">
        <w:t>making. Using</w:t>
      </w:r>
      <w:r w:rsidRPr="0058241D">
        <w:t xml:space="preserve"> our Model of Citizenhood Support as a framework, </w:t>
      </w:r>
      <w:r>
        <w:t>Foundational Supports can be designed</w:t>
      </w:r>
      <w:r w:rsidRPr="0058241D">
        <w:t xml:space="preserve">, and </w:t>
      </w:r>
      <w:r>
        <w:t>their</w:t>
      </w:r>
      <w:r w:rsidRPr="0058241D">
        <w:t xml:space="preserve"> impact</w:t>
      </w:r>
      <w:r>
        <w:t>s</w:t>
      </w:r>
      <w:r w:rsidRPr="0058241D">
        <w:t xml:space="preserve"> measured, by considering how </w:t>
      </w:r>
      <w:r>
        <w:t>they</w:t>
      </w:r>
      <w:r w:rsidRPr="0058241D">
        <w:t xml:space="preserve"> strengthen future decision</w:t>
      </w:r>
      <w:r w:rsidR="00275340">
        <w:t xml:space="preserve"> </w:t>
      </w:r>
      <w:r w:rsidRPr="0058241D">
        <w:t xml:space="preserve">making in one of four ways, that we term the ‘Four Capitals’: </w:t>
      </w:r>
    </w:p>
    <w:p w14:paraId="2B145E4C" w14:textId="77777777" w:rsidR="00A93562" w:rsidRPr="0058241D" w:rsidRDefault="00A93562" w:rsidP="008614D9">
      <w:pPr>
        <w:numPr>
          <w:ilvl w:val="0"/>
          <w:numId w:val="2"/>
        </w:numPr>
        <w:spacing w:after="160"/>
        <w:ind w:left="714" w:hanging="357"/>
      </w:pPr>
      <w:r w:rsidRPr="0058241D">
        <w:rPr>
          <w:b/>
          <w:bCs/>
        </w:rPr>
        <w:lastRenderedPageBreak/>
        <w:t xml:space="preserve">Personal Capital: The decision is </w:t>
      </w:r>
      <w:r w:rsidRPr="0058241D">
        <w:rPr>
          <w:b/>
          <w:bCs/>
          <w:i/>
          <w:iCs/>
        </w:rPr>
        <w:t xml:space="preserve">owned </w:t>
      </w:r>
      <w:r w:rsidRPr="0058241D">
        <w:t xml:space="preserve">It belongs to the person, and is not made for them by someone else, and is anchored on a positive, hopeful vision of a good life. </w:t>
      </w:r>
    </w:p>
    <w:p w14:paraId="47726193" w14:textId="77777777" w:rsidR="00A93562" w:rsidRPr="0058241D" w:rsidRDefault="00A93562" w:rsidP="008614D9">
      <w:pPr>
        <w:numPr>
          <w:ilvl w:val="0"/>
          <w:numId w:val="2"/>
        </w:numPr>
        <w:spacing w:after="160"/>
        <w:ind w:left="714" w:hanging="357"/>
      </w:pPr>
      <w:r w:rsidRPr="0058241D">
        <w:rPr>
          <w:b/>
          <w:bCs/>
        </w:rPr>
        <w:t xml:space="preserve">Knowledge Capital: The decision is </w:t>
      </w:r>
      <w:r w:rsidRPr="0058241D">
        <w:rPr>
          <w:b/>
          <w:bCs/>
          <w:i/>
          <w:iCs/>
        </w:rPr>
        <w:t xml:space="preserve">informed </w:t>
      </w:r>
      <w:proofErr w:type="gramStart"/>
      <w:r w:rsidRPr="0058241D">
        <w:t>The</w:t>
      </w:r>
      <w:proofErr w:type="gramEnd"/>
      <w:r w:rsidRPr="0058241D">
        <w:t xml:space="preserve"> person explores a range of options and comes to a view about which option holds the best prospect of a good outcome. </w:t>
      </w:r>
    </w:p>
    <w:p w14:paraId="0A1627B0" w14:textId="0CDE5553" w:rsidR="00A93562" w:rsidRDefault="00A93562" w:rsidP="008614D9">
      <w:pPr>
        <w:numPr>
          <w:ilvl w:val="0"/>
          <w:numId w:val="2"/>
        </w:numPr>
        <w:spacing w:after="160"/>
        <w:ind w:left="714" w:hanging="357"/>
      </w:pPr>
      <w:r w:rsidRPr="0058241D">
        <w:rPr>
          <w:b/>
          <w:bCs/>
        </w:rPr>
        <w:t xml:space="preserve">Material Capital: The decision is </w:t>
      </w:r>
      <w:r w:rsidRPr="0058241D">
        <w:rPr>
          <w:b/>
          <w:bCs/>
          <w:i/>
          <w:iCs/>
        </w:rPr>
        <w:t xml:space="preserve">resourced </w:t>
      </w:r>
      <w:proofErr w:type="gramStart"/>
      <w:r w:rsidRPr="0058241D">
        <w:t>The</w:t>
      </w:r>
      <w:proofErr w:type="gramEnd"/>
      <w:r w:rsidRPr="0058241D">
        <w:t xml:space="preserve"> person </w:t>
      </w:r>
      <w:proofErr w:type="gramStart"/>
      <w:r w:rsidRPr="0058241D">
        <w:t>is able to</w:t>
      </w:r>
      <w:proofErr w:type="gramEnd"/>
      <w:r w:rsidRPr="0058241D">
        <w:t xml:space="preserve"> access resources to assist with decision</w:t>
      </w:r>
      <w:r w:rsidR="000E1B5F">
        <w:t xml:space="preserve"> </w:t>
      </w:r>
      <w:r w:rsidRPr="0058241D">
        <w:t xml:space="preserve">making, and resources to enact the decision. </w:t>
      </w:r>
    </w:p>
    <w:p w14:paraId="0EFD31E7" w14:textId="77777777" w:rsidR="00A93562" w:rsidRDefault="00A93562" w:rsidP="008614D9">
      <w:pPr>
        <w:numPr>
          <w:ilvl w:val="0"/>
          <w:numId w:val="2"/>
        </w:numPr>
        <w:spacing w:after="160"/>
        <w:ind w:left="714" w:hanging="357"/>
      </w:pPr>
      <w:r w:rsidRPr="000A2373">
        <w:rPr>
          <w:b/>
          <w:bCs/>
        </w:rPr>
        <w:t xml:space="preserve">Social Capital: The decision is </w:t>
      </w:r>
      <w:r w:rsidRPr="000A2373">
        <w:rPr>
          <w:b/>
          <w:bCs/>
          <w:i/>
          <w:iCs/>
        </w:rPr>
        <w:t xml:space="preserve">supported </w:t>
      </w:r>
      <w:proofErr w:type="gramStart"/>
      <w:r w:rsidRPr="006B3552">
        <w:t>The</w:t>
      </w:r>
      <w:proofErr w:type="gramEnd"/>
      <w:r w:rsidRPr="006B3552">
        <w:t xml:space="preserve"> person has trusted people in their life they can test their thinking with, and who are there as emotional and practical support as the person enacts their decision. </w:t>
      </w:r>
    </w:p>
    <w:p w14:paraId="22702FC7" w14:textId="6F11939D" w:rsidR="00A93562" w:rsidRPr="006F1930" w:rsidRDefault="00A93562" w:rsidP="00A93562">
      <w:pPr>
        <w:spacing w:after="160"/>
      </w:pPr>
      <w:r>
        <w:t>Providing further education and training on Supported Decision</w:t>
      </w:r>
      <w:r w:rsidR="0094688F">
        <w:t>-</w:t>
      </w:r>
      <w:r>
        <w:t>Making</w:t>
      </w:r>
      <w:r w:rsidR="0094688F">
        <w:t xml:space="preserve"> approaches</w:t>
      </w:r>
      <w:r>
        <w:t xml:space="preserve"> is just one example of how Foundational Supports can build </w:t>
      </w:r>
      <w:r w:rsidR="0088511F">
        <w:t>decision</w:t>
      </w:r>
      <w:r w:rsidR="0094688F">
        <w:t xml:space="preserve"> </w:t>
      </w:r>
      <w:r w:rsidR="0088511F">
        <w:t xml:space="preserve">making </w:t>
      </w:r>
      <w:r>
        <w:t xml:space="preserve">capacity. </w:t>
      </w:r>
    </w:p>
    <w:p w14:paraId="44E5BC5C" w14:textId="6FB97900" w:rsidR="00A93562" w:rsidRDefault="00A93562" w:rsidP="00A93562">
      <w:pPr>
        <w:spacing w:after="160"/>
        <w:rPr>
          <w:b/>
        </w:rPr>
      </w:pPr>
      <w:bookmarkStart w:id="42" w:name="_Hlk184409009"/>
      <w:r w:rsidRPr="0088511F">
        <w:rPr>
          <w:rStyle w:val="Heading4Char"/>
        </w:rPr>
        <w:t>Recommendation 1</w:t>
      </w:r>
      <w:r w:rsidR="005363F3">
        <w:rPr>
          <w:rStyle w:val="Heading4Char"/>
        </w:rPr>
        <w:t>6:</w:t>
      </w:r>
      <w:r w:rsidRPr="0088511F">
        <w:rPr>
          <w:rStyle w:val="Heading4Char"/>
        </w:rPr>
        <w:t xml:space="preserve"> </w:t>
      </w:r>
      <w:r w:rsidR="00396F94">
        <w:rPr>
          <w:b/>
          <w:bCs/>
        </w:rPr>
        <w:t>Federal and State and Territory Governments</w:t>
      </w:r>
      <w:r w:rsidRPr="00125104">
        <w:rPr>
          <w:b/>
          <w:bCs/>
        </w:rPr>
        <w:t xml:space="preserve"> </w:t>
      </w:r>
      <w:r>
        <w:rPr>
          <w:b/>
          <w:bCs/>
        </w:rPr>
        <w:t>should ensure the Foundational Supports Strategy</w:t>
      </w:r>
      <w:r w:rsidR="00AA5ACD">
        <w:rPr>
          <w:b/>
          <w:bCs/>
        </w:rPr>
        <w:t xml:space="preserve"> establishes a pathway to </w:t>
      </w:r>
      <w:r w:rsidR="003856E5">
        <w:rPr>
          <w:b/>
          <w:bCs/>
        </w:rPr>
        <w:t xml:space="preserve">embed </w:t>
      </w:r>
      <w:r w:rsidR="0094688F">
        <w:rPr>
          <w:b/>
          <w:bCs/>
        </w:rPr>
        <w:t>S</w:t>
      </w:r>
      <w:r w:rsidR="003856E5">
        <w:rPr>
          <w:b/>
          <w:bCs/>
        </w:rPr>
        <w:t xml:space="preserve">upported </w:t>
      </w:r>
      <w:r w:rsidR="0094688F">
        <w:rPr>
          <w:b/>
          <w:bCs/>
        </w:rPr>
        <w:t>D</w:t>
      </w:r>
      <w:r w:rsidR="003856E5">
        <w:rPr>
          <w:b/>
          <w:bCs/>
        </w:rPr>
        <w:t>ecision-</w:t>
      </w:r>
      <w:r w:rsidR="0094688F">
        <w:rPr>
          <w:b/>
          <w:bCs/>
        </w:rPr>
        <w:t>M</w:t>
      </w:r>
      <w:r w:rsidR="003856E5">
        <w:rPr>
          <w:b/>
          <w:bCs/>
        </w:rPr>
        <w:t>aking approaches in all elements of disability supports and guardianship arrangements</w:t>
      </w:r>
      <w:r>
        <w:rPr>
          <w:b/>
          <w:bCs/>
        </w:rPr>
        <w:t>.</w:t>
      </w:r>
      <w:bookmarkEnd w:id="42"/>
      <w:r>
        <w:rPr>
          <w:b/>
          <w:bCs/>
        </w:rPr>
        <w:t xml:space="preserve"> </w:t>
      </w:r>
    </w:p>
    <w:p w14:paraId="716DA6BC" w14:textId="77777777" w:rsidR="00A93562" w:rsidRDefault="00A93562" w:rsidP="00F56CB4">
      <w:pPr>
        <w:spacing w:after="160"/>
        <w:rPr>
          <w:rFonts w:cstheme="minorHAnsi"/>
          <w:b/>
          <w:color w:val="522E91"/>
          <w:sz w:val="32"/>
          <w:szCs w:val="32"/>
        </w:rPr>
      </w:pPr>
    </w:p>
    <w:p w14:paraId="643B73B2" w14:textId="77777777" w:rsidR="00235A9A" w:rsidRDefault="00235A9A" w:rsidP="00F56CB4">
      <w:pPr>
        <w:spacing w:after="160"/>
        <w:rPr>
          <w:rFonts w:cstheme="minorHAnsi"/>
          <w:b/>
          <w:color w:val="522E91"/>
          <w:sz w:val="32"/>
          <w:szCs w:val="32"/>
        </w:rPr>
      </w:pPr>
      <w:r>
        <w:br w:type="page"/>
      </w:r>
    </w:p>
    <w:p w14:paraId="50ED8AE3" w14:textId="303C0581" w:rsidR="007162AD" w:rsidRDefault="007162AD" w:rsidP="00D32B70">
      <w:pPr>
        <w:pStyle w:val="Heading1"/>
        <w:spacing w:after="160" w:line="360" w:lineRule="auto"/>
      </w:pPr>
      <w:bookmarkStart w:id="43" w:name="_Toc184414893"/>
      <w:r>
        <w:lastRenderedPageBreak/>
        <w:t>Capacity building</w:t>
      </w:r>
      <w:bookmarkEnd w:id="43"/>
    </w:p>
    <w:p w14:paraId="7F634610" w14:textId="4567625F" w:rsidR="00AC7D80" w:rsidRPr="00F85274" w:rsidRDefault="00AC7D80" w:rsidP="00D32B70">
      <w:pPr>
        <w:spacing w:after="160"/>
      </w:pPr>
      <w:r w:rsidRPr="00F85274">
        <w:t xml:space="preserve">The ILC </w:t>
      </w:r>
      <w:r w:rsidR="00F85274" w:rsidRPr="00F85274">
        <w:t xml:space="preserve">program has delivered some positive </w:t>
      </w:r>
      <w:r w:rsidR="00F85274">
        <w:t xml:space="preserve">benefits </w:t>
      </w:r>
      <w:proofErr w:type="gramStart"/>
      <w:r w:rsidR="00F85274">
        <w:t>but,</w:t>
      </w:r>
      <w:proofErr w:type="gramEnd"/>
      <w:r w:rsidR="00F85274">
        <w:t xml:space="preserve"> as mentioned </w:t>
      </w:r>
      <w:r w:rsidR="00576EDC">
        <w:t xml:space="preserve">throughout this submission, has fallen </w:t>
      </w:r>
      <w:r w:rsidR="007018CA">
        <w:t xml:space="preserve">well </w:t>
      </w:r>
      <w:r w:rsidR="00576EDC">
        <w:t>short of what is needed. The types of programs and support</w:t>
      </w:r>
      <w:r w:rsidR="00707193">
        <w:t xml:space="preserve">s that fall under the capacity building label </w:t>
      </w:r>
      <w:r w:rsidR="007E4EE3">
        <w:t xml:space="preserve">support people with disability, their families and allies, and others in the community to </w:t>
      </w:r>
      <w:r w:rsidR="005F5F15">
        <w:t xml:space="preserve">build their knowledge, skills, and confidence </w:t>
      </w:r>
      <w:r w:rsidR="008B3C4A">
        <w:t>to navigate services</w:t>
      </w:r>
      <w:r w:rsidR="009821F1">
        <w:t xml:space="preserve">, access the community, and pursue goals. Unfortunately, there has been a tendency </w:t>
      </w:r>
      <w:r w:rsidR="00DE329F">
        <w:t xml:space="preserve">so far </w:t>
      </w:r>
      <w:r w:rsidR="009821F1">
        <w:t xml:space="preserve">to </w:t>
      </w:r>
      <w:r w:rsidR="00DE329F">
        <w:t>disproportionately</w:t>
      </w:r>
      <w:r w:rsidR="009821F1">
        <w:t xml:space="preserve"> target </w:t>
      </w:r>
      <w:r w:rsidR="00DE329F">
        <w:t xml:space="preserve">people with disability as needing to </w:t>
      </w:r>
      <w:r w:rsidR="0017248B">
        <w:t>build their capacity while overlook</w:t>
      </w:r>
      <w:r w:rsidR="00893A2C">
        <w:t>ing the many ways in which governments, businesses, employers, education</w:t>
      </w:r>
      <w:r w:rsidR="000E75C8">
        <w:t xml:space="preserve"> providers</w:t>
      </w:r>
      <w:r w:rsidR="00893A2C">
        <w:t xml:space="preserve">, community </w:t>
      </w:r>
      <w:r w:rsidR="000E75C8">
        <w:t xml:space="preserve">organisations, </w:t>
      </w:r>
      <w:r w:rsidR="00D24D34">
        <w:t xml:space="preserve">NDIS providers, support workers, </w:t>
      </w:r>
      <w:r w:rsidR="000E75C8">
        <w:t xml:space="preserve">and </w:t>
      </w:r>
      <w:r w:rsidR="003F452A">
        <w:t xml:space="preserve">the general population fail to welcome, </w:t>
      </w:r>
      <w:r w:rsidR="008969D5">
        <w:t xml:space="preserve">value, </w:t>
      </w:r>
      <w:r w:rsidR="00F90FA1">
        <w:t xml:space="preserve">respect, and include their fellow Australians with disability. </w:t>
      </w:r>
      <w:r w:rsidR="00395154">
        <w:t xml:space="preserve">The consultation paper continues this tread and does not </w:t>
      </w:r>
      <w:r w:rsidR="00BF213C">
        <w:t xml:space="preserve">even seek views on the future </w:t>
      </w:r>
      <w:r w:rsidR="00113235">
        <w:t>of the ILC stream designed to</w:t>
      </w:r>
      <w:r w:rsidR="00C77B6E">
        <w:t xml:space="preserve"> </w:t>
      </w:r>
      <w:r w:rsidR="00BD1632">
        <w:t>assist</w:t>
      </w:r>
      <w:r w:rsidR="00113235">
        <w:t xml:space="preserve"> people with disability </w:t>
      </w:r>
      <w:r w:rsidR="00BD1632">
        <w:t xml:space="preserve">to overcome the many barriers </w:t>
      </w:r>
      <w:r w:rsidR="00113235">
        <w:t xml:space="preserve">to </w:t>
      </w:r>
      <w:r w:rsidR="00BD1632">
        <w:t xml:space="preserve">full </w:t>
      </w:r>
      <w:r w:rsidR="00113235">
        <w:t>economic participation</w:t>
      </w:r>
      <w:r w:rsidR="007018CA">
        <w:t>, a point we will return to below</w:t>
      </w:r>
      <w:r w:rsidR="00113235">
        <w:t xml:space="preserve">. </w:t>
      </w:r>
    </w:p>
    <w:p w14:paraId="161208E9" w14:textId="2A35F957" w:rsidR="00D32B70" w:rsidRDefault="007018CA" w:rsidP="00D32B70">
      <w:pPr>
        <w:spacing w:after="160"/>
      </w:pPr>
      <w:r>
        <w:t xml:space="preserve">In this section, we focus on </w:t>
      </w:r>
      <w:r w:rsidR="00D668B8">
        <w:t xml:space="preserve">how </w:t>
      </w:r>
      <w:r w:rsidR="003438E7">
        <w:t xml:space="preserve">people interact with capacity building </w:t>
      </w:r>
      <w:r w:rsidR="00EB1C70">
        <w:t>supports currently</w:t>
      </w:r>
      <w:r>
        <w:t xml:space="preserve">, </w:t>
      </w:r>
      <w:r w:rsidR="00EB1C70">
        <w:t>w</w:t>
      </w:r>
      <w:r>
        <w:t>hat already exists that needs to be maintained, and what else is needed.</w:t>
      </w:r>
      <w:r w:rsidR="00EB1C70">
        <w:t xml:space="preserve"> </w:t>
      </w:r>
      <w:r w:rsidR="003E7419">
        <w:t xml:space="preserve">Overall, </w:t>
      </w:r>
      <w:r w:rsidR="00B6234C">
        <w:t xml:space="preserve">the future of capacity building needs substantial work and re-design, something that should occur through a </w:t>
      </w:r>
      <w:r w:rsidR="00A93564">
        <w:t>significant investment of time and resources in a genuine co-design process involving a diversity of disability community voices</w:t>
      </w:r>
      <w:r w:rsidR="002A23CA">
        <w:t>,</w:t>
      </w:r>
      <w:r w:rsidR="00A93564">
        <w:t xml:space="preserve"> as well as a broad range of stakeholders from all aspects of society </w:t>
      </w:r>
      <w:r w:rsidR="009633D7">
        <w:t xml:space="preserve">to ensure their effectiveness. </w:t>
      </w:r>
    </w:p>
    <w:p w14:paraId="3EFF496A" w14:textId="77777777" w:rsidR="00EB1C70" w:rsidRPr="00B366D7" w:rsidRDefault="00EB1C70" w:rsidP="00D32B70">
      <w:pPr>
        <w:spacing w:after="160"/>
      </w:pPr>
    </w:p>
    <w:p w14:paraId="568BBB04" w14:textId="27946EED" w:rsidR="007162AD" w:rsidRDefault="007162AD" w:rsidP="00D32B70">
      <w:pPr>
        <w:pStyle w:val="Heading2"/>
        <w:spacing w:after="160" w:line="360" w:lineRule="auto"/>
      </w:pPr>
      <w:bookmarkStart w:id="44" w:name="_Toc184414894"/>
      <w:r>
        <w:t>Existing supports</w:t>
      </w:r>
      <w:r w:rsidR="00235A9A">
        <w:t xml:space="preserve"> for capacity building</w:t>
      </w:r>
      <w:bookmarkEnd w:id="44"/>
    </w:p>
    <w:p w14:paraId="29154634" w14:textId="49A1F75F" w:rsidR="009B446C" w:rsidRDefault="008B1478" w:rsidP="00D32B70">
      <w:pPr>
        <w:spacing w:after="160"/>
      </w:pPr>
      <w:r>
        <w:t>Capacity building is a loaded and nebulous phrase</w:t>
      </w:r>
      <w:r w:rsidR="004B50B2">
        <w:t xml:space="preserve"> preferred </w:t>
      </w:r>
      <w:r w:rsidR="0007114F">
        <w:t>in the NDIS</w:t>
      </w:r>
      <w:r w:rsidR="004B50B2">
        <w:t xml:space="preserve"> </w:t>
      </w:r>
      <w:proofErr w:type="gramStart"/>
      <w:r w:rsidR="004B50B2">
        <w:t xml:space="preserve">but </w:t>
      </w:r>
      <w:r w:rsidR="00C06DA9">
        <w:t>yet</w:t>
      </w:r>
      <w:proofErr w:type="gramEnd"/>
      <w:r w:rsidR="00C06DA9">
        <w:t xml:space="preserve"> to resonate with many in the disability community</w:t>
      </w:r>
      <w:r>
        <w:t xml:space="preserve">. </w:t>
      </w:r>
      <w:r w:rsidR="00CC37C5">
        <w:t xml:space="preserve">In our conversations to inform this submission, </w:t>
      </w:r>
      <w:r w:rsidR="009B446C">
        <w:t xml:space="preserve">peer </w:t>
      </w:r>
      <w:r w:rsidR="00C06DA9">
        <w:t>connectors</w:t>
      </w:r>
      <w:r w:rsidR="00E875BE">
        <w:t xml:space="preserve"> </w:t>
      </w:r>
      <w:r w:rsidR="00CC37C5">
        <w:t xml:space="preserve">immediately questioned what is meant </w:t>
      </w:r>
      <w:r w:rsidR="0007114F">
        <w:t>by the term and</w:t>
      </w:r>
      <w:r w:rsidR="00CC37C5">
        <w:t xml:space="preserve"> </w:t>
      </w:r>
      <w:r w:rsidR="00294796">
        <w:t xml:space="preserve">then </w:t>
      </w:r>
      <w:r w:rsidR="00E875BE">
        <w:t>recognised the difficulty in</w:t>
      </w:r>
      <w:r w:rsidR="00D939F5">
        <w:t xml:space="preserve"> defining this type of support</w:t>
      </w:r>
      <w:r w:rsidR="00294796">
        <w:t xml:space="preserve">. </w:t>
      </w:r>
      <w:r w:rsidR="00E543C5">
        <w:t xml:space="preserve">They shared </w:t>
      </w:r>
      <w:proofErr w:type="gramStart"/>
      <w:r w:rsidR="00E543C5">
        <w:t>a number of</w:t>
      </w:r>
      <w:proofErr w:type="gramEnd"/>
      <w:r w:rsidR="00E543C5">
        <w:t xml:space="preserve"> points about existing capacity building </w:t>
      </w:r>
      <w:r w:rsidR="00C63BAD">
        <w:t>supports</w:t>
      </w:r>
      <w:r w:rsidR="00F7621B">
        <w:t xml:space="preserve">: </w:t>
      </w:r>
    </w:p>
    <w:p w14:paraId="6E9E5BDC" w14:textId="16DD6B9C" w:rsidR="002925C8" w:rsidRPr="007C1771" w:rsidRDefault="002925C8" w:rsidP="00F56CB4">
      <w:pPr>
        <w:spacing w:after="160"/>
      </w:pPr>
      <w:r w:rsidRPr="007C1771">
        <w:rPr>
          <w:b/>
          <w:bCs/>
        </w:rPr>
        <w:t xml:space="preserve">Regional </w:t>
      </w:r>
      <w:r w:rsidR="009A7A6A">
        <w:rPr>
          <w:b/>
          <w:bCs/>
        </w:rPr>
        <w:t>peer connectors</w:t>
      </w:r>
      <w:r w:rsidRPr="007C1771">
        <w:rPr>
          <w:b/>
          <w:bCs/>
        </w:rPr>
        <w:t>:</w:t>
      </w:r>
    </w:p>
    <w:p w14:paraId="4C36E747" w14:textId="112E8E45" w:rsidR="002925C8" w:rsidRPr="007C1771" w:rsidRDefault="00032FA6" w:rsidP="00B95BDD">
      <w:pPr>
        <w:numPr>
          <w:ilvl w:val="0"/>
          <w:numId w:val="4"/>
        </w:numPr>
        <w:spacing w:after="160"/>
      </w:pPr>
      <w:r>
        <w:rPr>
          <w:b/>
          <w:bCs/>
        </w:rPr>
        <w:t xml:space="preserve">Essential skills: </w:t>
      </w:r>
      <w:r w:rsidR="002925C8" w:rsidRPr="007C1771">
        <w:t>Capacity building involves building essential skills.</w:t>
      </w:r>
    </w:p>
    <w:p w14:paraId="71537F68" w14:textId="66A1AF26" w:rsidR="002925C8" w:rsidRPr="007C1771" w:rsidRDefault="00EE37C4" w:rsidP="00B95BDD">
      <w:pPr>
        <w:numPr>
          <w:ilvl w:val="0"/>
          <w:numId w:val="4"/>
        </w:numPr>
        <w:spacing w:after="160"/>
      </w:pPr>
      <w:r>
        <w:rPr>
          <w:b/>
          <w:bCs/>
        </w:rPr>
        <w:lastRenderedPageBreak/>
        <w:t xml:space="preserve">Broad application: </w:t>
      </w:r>
      <w:r w:rsidR="002925C8" w:rsidRPr="007C1771">
        <w:t xml:space="preserve">It should not be one-sided, meaning it should not only </w:t>
      </w:r>
      <w:r w:rsidR="00FD51D8">
        <w:t xml:space="preserve">people with </w:t>
      </w:r>
      <w:r w:rsidR="002925C8" w:rsidRPr="007C1771">
        <w:t>disab</w:t>
      </w:r>
      <w:r w:rsidR="00FD51D8">
        <w:t>ility</w:t>
      </w:r>
      <w:r w:rsidR="002925C8" w:rsidRPr="007C1771">
        <w:t xml:space="preserve"> who </w:t>
      </w:r>
      <w:r w:rsidR="00FD51D8">
        <w:t>are expected</w:t>
      </w:r>
      <w:r w:rsidR="002925C8" w:rsidRPr="007C1771">
        <w:t xml:space="preserve"> to build capacity.</w:t>
      </w:r>
    </w:p>
    <w:p w14:paraId="2B4BB936" w14:textId="0FE5832C" w:rsidR="002925C8" w:rsidRPr="007C1771" w:rsidRDefault="002925C8" w:rsidP="00F56CB4">
      <w:pPr>
        <w:spacing w:after="160"/>
      </w:pPr>
      <w:r w:rsidRPr="007C1771">
        <w:rPr>
          <w:b/>
          <w:bCs/>
        </w:rPr>
        <w:t xml:space="preserve">CALD </w:t>
      </w:r>
      <w:r w:rsidR="009A7A6A">
        <w:rPr>
          <w:b/>
          <w:bCs/>
        </w:rPr>
        <w:t>peer connectors</w:t>
      </w:r>
      <w:r w:rsidRPr="007C1771">
        <w:rPr>
          <w:b/>
          <w:bCs/>
        </w:rPr>
        <w:t>:</w:t>
      </w:r>
    </w:p>
    <w:p w14:paraId="440DE134" w14:textId="77777777" w:rsidR="007948A2" w:rsidRPr="007C1771" w:rsidRDefault="00C63BAD" w:rsidP="00B95BDD">
      <w:pPr>
        <w:numPr>
          <w:ilvl w:val="0"/>
          <w:numId w:val="6"/>
        </w:numPr>
        <w:spacing w:after="160"/>
      </w:pPr>
      <w:r>
        <w:rPr>
          <w:b/>
          <w:bCs/>
        </w:rPr>
        <w:t xml:space="preserve">Skills: </w:t>
      </w:r>
      <w:r w:rsidR="002925C8" w:rsidRPr="007C1771">
        <w:t xml:space="preserve">Capacity building focuses on </w:t>
      </w:r>
      <w:r w:rsidR="001C36F8">
        <w:t xml:space="preserve">education, </w:t>
      </w:r>
      <w:r w:rsidR="002925C8" w:rsidRPr="007C1771">
        <w:t>skill</w:t>
      </w:r>
      <w:r w:rsidR="001C36F8">
        <w:t>s</w:t>
      </w:r>
      <w:r w:rsidR="002925C8" w:rsidRPr="007C1771">
        <w:t xml:space="preserve"> development</w:t>
      </w:r>
      <w:r w:rsidR="001C36F8">
        <w:t>,</w:t>
      </w:r>
      <w:r w:rsidR="002925C8" w:rsidRPr="007C1771">
        <w:t xml:space="preserve"> and self-reliance.</w:t>
      </w:r>
      <w:r w:rsidR="007948A2">
        <w:t xml:space="preserve"> </w:t>
      </w:r>
      <w:r w:rsidR="007948A2" w:rsidRPr="007C1771">
        <w:t>Support for activities like letter writing, CV preparation, and digital literacy is also part of capacity building.</w:t>
      </w:r>
    </w:p>
    <w:p w14:paraId="76B7D425" w14:textId="2A7F21F4" w:rsidR="002925C8" w:rsidRPr="007C1771" w:rsidRDefault="00F473AC" w:rsidP="00B95BDD">
      <w:pPr>
        <w:numPr>
          <w:ilvl w:val="0"/>
          <w:numId w:val="5"/>
        </w:numPr>
        <w:spacing w:after="160"/>
      </w:pPr>
      <w:r>
        <w:rPr>
          <w:b/>
          <w:bCs/>
        </w:rPr>
        <w:t>Confus</w:t>
      </w:r>
      <w:r w:rsidR="00F04D58">
        <w:rPr>
          <w:b/>
          <w:bCs/>
        </w:rPr>
        <w:t>ion</w:t>
      </w:r>
      <w:r>
        <w:rPr>
          <w:b/>
          <w:bCs/>
        </w:rPr>
        <w:t xml:space="preserve"> about the term: </w:t>
      </w:r>
      <w:r w:rsidR="002925C8" w:rsidRPr="007C1771">
        <w:t>It is not always used in the proper way within the community.</w:t>
      </w:r>
    </w:p>
    <w:p w14:paraId="488EDF05" w14:textId="6188CFFD" w:rsidR="002925C8" w:rsidRPr="007C1771" w:rsidRDefault="00D97CBA" w:rsidP="00B95BDD">
      <w:pPr>
        <w:numPr>
          <w:ilvl w:val="0"/>
          <w:numId w:val="5"/>
        </w:numPr>
        <w:spacing w:after="160"/>
      </w:pPr>
      <w:r w:rsidRPr="00D97CBA">
        <w:rPr>
          <w:b/>
          <w:bCs/>
        </w:rPr>
        <w:t>Fear responses</w:t>
      </w:r>
      <w:r w:rsidR="00F473AC" w:rsidRPr="00D97CBA">
        <w:rPr>
          <w:b/>
          <w:bCs/>
        </w:rPr>
        <w:t>:</w:t>
      </w:r>
      <w:r w:rsidR="00F473AC">
        <w:t xml:space="preserve"> </w:t>
      </w:r>
      <w:r w:rsidR="002925C8" w:rsidRPr="007C1771">
        <w:t>There is a need to build groundwork and overcome the stress and pressure associated with capacity building.</w:t>
      </w:r>
    </w:p>
    <w:p w14:paraId="2C0E9DA2" w14:textId="29981207" w:rsidR="002925C8" w:rsidRPr="007C1771" w:rsidRDefault="00F04D58" w:rsidP="00B95BDD">
      <w:pPr>
        <w:numPr>
          <w:ilvl w:val="0"/>
          <w:numId w:val="6"/>
        </w:numPr>
        <w:spacing w:after="160"/>
      </w:pPr>
      <w:r>
        <w:rPr>
          <w:b/>
          <w:bCs/>
        </w:rPr>
        <w:t>S</w:t>
      </w:r>
      <w:r w:rsidR="00150932" w:rsidRPr="00150932">
        <w:rPr>
          <w:b/>
          <w:bCs/>
        </w:rPr>
        <w:t>afe spaces:</w:t>
      </w:r>
      <w:r w:rsidR="00150932">
        <w:t xml:space="preserve"> </w:t>
      </w:r>
      <w:r w:rsidR="002925C8" w:rsidRPr="007C1771">
        <w:t>It involves creating places where people can go to learn skills, sociali</w:t>
      </w:r>
      <w:r w:rsidR="00313DDE">
        <w:t>s</w:t>
      </w:r>
      <w:r w:rsidR="002925C8" w:rsidRPr="007C1771">
        <w:t>e, and avoid isolation.</w:t>
      </w:r>
    </w:p>
    <w:p w14:paraId="79E0F55B" w14:textId="6192D2FE" w:rsidR="002925C8" w:rsidRDefault="00150932" w:rsidP="00B95BDD">
      <w:pPr>
        <w:numPr>
          <w:ilvl w:val="0"/>
          <w:numId w:val="6"/>
        </w:numPr>
        <w:spacing w:after="160"/>
      </w:pPr>
      <w:r>
        <w:rPr>
          <w:b/>
          <w:bCs/>
        </w:rPr>
        <w:t xml:space="preserve">Goals: </w:t>
      </w:r>
      <w:r w:rsidR="002925C8" w:rsidRPr="007C1771">
        <w:t>It</w:t>
      </w:r>
      <w:r w:rsidR="002925C8">
        <w:t xml:space="preserve"> should</w:t>
      </w:r>
      <w:r w:rsidR="002925C8" w:rsidRPr="007C1771">
        <w:t xml:space="preserve"> aim to help people get further education and training</w:t>
      </w:r>
      <w:r w:rsidR="001D68E2">
        <w:t>.</w:t>
      </w:r>
    </w:p>
    <w:p w14:paraId="74B004E5" w14:textId="61EDF0B0" w:rsidR="007E6F88" w:rsidRDefault="006F58DE" w:rsidP="00F56CB4">
      <w:pPr>
        <w:spacing w:after="160"/>
      </w:pPr>
      <w:r>
        <w:t xml:space="preserve">As identified by the regional peer networks, </w:t>
      </w:r>
      <w:r w:rsidR="00984C75" w:rsidRPr="00984C75">
        <w:t>capacity</w:t>
      </w:r>
      <w:r w:rsidR="001D68E2">
        <w:t xml:space="preserve"> </w:t>
      </w:r>
      <w:r w:rsidR="00984C75" w:rsidRPr="00984C75">
        <w:t>building initiatives</w:t>
      </w:r>
      <w:r>
        <w:t xml:space="preserve"> should</w:t>
      </w:r>
      <w:r w:rsidR="00984C75" w:rsidRPr="00984C75">
        <w:t xml:space="preserve"> also extend to the non-disabled community, especially to those who are </w:t>
      </w:r>
      <w:r w:rsidR="00984C75" w:rsidRPr="00984C75">
        <w:rPr>
          <w:b/>
          <w:bCs/>
        </w:rPr>
        <w:t>gatekeepers of community resources and opportunities</w:t>
      </w:r>
      <w:r w:rsidR="00984C75" w:rsidRPr="00984C75">
        <w:t xml:space="preserve">. This includes employers, local clubs, community groups, education providers, local government services, and so on. The more those people are assisted to </w:t>
      </w:r>
      <w:r w:rsidR="00984C75" w:rsidRPr="00723F19">
        <w:t>become better</w:t>
      </w:r>
      <w:r w:rsidR="00397ACF" w:rsidRPr="00723F19">
        <w:t xml:space="preserve"> </w:t>
      </w:r>
      <w:r w:rsidR="00984C75" w:rsidRPr="00723F19">
        <w:t>informed about disability and diversity, the more likely it is our communities will be more welcoming and inclusive.</w:t>
      </w:r>
      <w:r w:rsidR="00FB2BFD" w:rsidRPr="00723F19">
        <w:t xml:space="preserve"> </w:t>
      </w:r>
      <w:r w:rsidR="009A1538" w:rsidRPr="00723F19">
        <w:t xml:space="preserve">For all the above reasons, </w:t>
      </w:r>
      <w:r w:rsidR="006108AC" w:rsidRPr="00723F19">
        <w:t>capacity building programs</w:t>
      </w:r>
      <w:r w:rsidR="007E6F88" w:rsidRPr="00723F19">
        <w:t xml:space="preserve"> </w:t>
      </w:r>
      <w:r w:rsidR="009A1538" w:rsidRPr="00723F19">
        <w:t>can deliver critical outcomes for the disability community and for Australia’s ambitions to become a truly inclusive society.</w:t>
      </w:r>
      <w:r w:rsidR="009A1538" w:rsidRPr="009A1538">
        <w:t xml:space="preserve"> </w:t>
      </w:r>
      <w:r w:rsidR="00A27D6D">
        <w:t xml:space="preserve">Foundational Supports should include what has been working well </w:t>
      </w:r>
      <w:r w:rsidR="007E6F88">
        <w:t xml:space="preserve">within </w:t>
      </w:r>
      <w:r w:rsidR="00A27D6D">
        <w:t xml:space="preserve">the </w:t>
      </w:r>
      <w:r w:rsidR="007E6F88">
        <w:t xml:space="preserve">ILC </w:t>
      </w:r>
      <w:r w:rsidR="00A27D6D">
        <w:t xml:space="preserve">program </w:t>
      </w:r>
      <w:r w:rsidR="007E6F88">
        <w:t xml:space="preserve">but also expand beyond </w:t>
      </w:r>
      <w:r w:rsidR="00A27D6D">
        <w:t>that</w:t>
      </w:r>
      <w:r w:rsidR="00FB2BFD">
        <w:t xml:space="preserve">. </w:t>
      </w:r>
    </w:p>
    <w:p w14:paraId="6692D46B" w14:textId="77777777" w:rsidR="00FF0E97" w:rsidRDefault="00FF0E97" w:rsidP="00F56CB4">
      <w:pPr>
        <w:spacing w:after="160"/>
      </w:pPr>
    </w:p>
    <w:p w14:paraId="49925BD9" w14:textId="77777777" w:rsidR="007162AD" w:rsidRDefault="007162AD" w:rsidP="00F56CB4">
      <w:pPr>
        <w:pStyle w:val="Heading2"/>
        <w:spacing w:after="160" w:line="360" w:lineRule="auto"/>
      </w:pPr>
      <w:bookmarkStart w:id="45" w:name="_Toc184414895"/>
      <w:r>
        <w:t>What else is needed</w:t>
      </w:r>
      <w:bookmarkEnd w:id="45"/>
    </w:p>
    <w:p w14:paraId="06FEE4FB" w14:textId="62ABDA6E" w:rsidR="00575396" w:rsidRPr="00575396" w:rsidRDefault="00575396" w:rsidP="00F56CB4">
      <w:pPr>
        <w:spacing w:after="160"/>
      </w:pPr>
      <w:r>
        <w:t xml:space="preserve">Our peer </w:t>
      </w:r>
      <w:r w:rsidR="00063DF6">
        <w:t>connectors</w:t>
      </w:r>
      <w:r>
        <w:t xml:space="preserve"> identified </w:t>
      </w:r>
      <w:r w:rsidR="0064579E">
        <w:t xml:space="preserve">some key shortcomings of the existing capacity building programs, </w:t>
      </w:r>
      <w:r w:rsidR="00121FEF">
        <w:t>and the accessibility of the phrase.</w:t>
      </w:r>
      <w:r w:rsidR="0064579E">
        <w:t xml:space="preserve"> </w:t>
      </w:r>
    </w:p>
    <w:p w14:paraId="614F180C" w14:textId="77777777" w:rsidR="002220F3" w:rsidRDefault="002220F3" w:rsidP="00F56CB4">
      <w:pPr>
        <w:spacing w:after="160"/>
        <w:rPr>
          <w:b/>
          <w:bCs/>
        </w:rPr>
      </w:pPr>
    </w:p>
    <w:p w14:paraId="46881F6E" w14:textId="3971E446" w:rsidR="00A84765" w:rsidRPr="007C1771" w:rsidRDefault="00A84765" w:rsidP="00F56CB4">
      <w:pPr>
        <w:spacing w:after="160"/>
      </w:pPr>
      <w:r w:rsidRPr="007C1771">
        <w:rPr>
          <w:b/>
          <w:bCs/>
        </w:rPr>
        <w:lastRenderedPageBreak/>
        <w:t xml:space="preserve">Regional </w:t>
      </w:r>
      <w:r w:rsidR="00EF1ECC">
        <w:rPr>
          <w:b/>
          <w:bCs/>
        </w:rPr>
        <w:t>peer connectors</w:t>
      </w:r>
      <w:r w:rsidRPr="007C1771">
        <w:rPr>
          <w:b/>
          <w:bCs/>
        </w:rPr>
        <w:t>:</w:t>
      </w:r>
    </w:p>
    <w:p w14:paraId="6F2A8F5B" w14:textId="3F63AE36" w:rsidR="00A84765" w:rsidRPr="007C1771" w:rsidRDefault="001C6978" w:rsidP="00B95BDD">
      <w:pPr>
        <w:numPr>
          <w:ilvl w:val="0"/>
          <w:numId w:val="7"/>
        </w:numPr>
        <w:spacing w:after="160"/>
      </w:pPr>
      <w:r>
        <w:rPr>
          <w:b/>
          <w:bCs/>
        </w:rPr>
        <w:t xml:space="preserve">Change the terminology: </w:t>
      </w:r>
      <w:r w:rsidR="00A84765" w:rsidRPr="007C1771">
        <w:t xml:space="preserve">The term </w:t>
      </w:r>
      <w:r w:rsidR="00063DF6">
        <w:t>‘</w:t>
      </w:r>
      <w:r w:rsidR="00A84765" w:rsidRPr="007C1771">
        <w:t>capacity building</w:t>
      </w:r>
      <w:r w:rsidR="00063DF6">
        <w:t>’</w:t>
      </w:r>
      <w:r w:rsidR="00A84765" w:rsidRPr="007C1771">
        <w:t xml:space="preserve"> is considered inaccessible</w:t>
      </w:r>
      <w:r w:rsidR="0000504A">
        <w:t xml:space="preserve"> and vague</w:t>
      </w:r>
      <w:r w:rsidR="00A84765" w:rsidRPr="007C1771">
        <w:t>.</w:t>
      </w:r>
      <w:r w:rsidR="0000504A">
        <w:t xml:space="preserve"> Clearer and more </w:t>
      </w:r>
      <w:r w:rsidR="00014730">
        <w:t>specific</w:t>
      </w:r>
      <w:r w:rsidR="0000504A">
        <w:t xml:space="preserve"> terms should be used</w:t>
      </w:r>
      <w:r w:rsidR="00014730">
        <w:t>.</w:t>
      </w:r>
    </w:p>
    <w:p w14:paraId="4ECA9270" w14:textId="00F2B8A3" w:rsidR="00A84765" w:rsidRPr="007C1771" w:rsidRDefault="008F6E54" w:rsidP="00B95BDD">
      <w:pPr>
        <w:numPr>
          <w:ilvl w:val="0"/>
          <w:numId w:val="7"/>
        </w:numPr>
        <w:spacing w:after="160"/>
      </w:pPr>
      <w:r>
        <w:rPr>
          <w:b/>
          <w:bCs/>
        </w:rPr>
        <w:t>Apply broadly</w:t>
      </w:r>
      <w:r w:rsidR="001C6978">
        <w:rPr>
          <w:b/>
          <w:bCs/>
        </w:rPr>
        <w:t xml:space="preserve">: </w:t>
      </w:r>
      <w:r>
        <w:t>Capacity</w:t>
      </w:r>
      <w:r w:rsidR="00A84765" w:rsidRPr="007C1771">
        <w:t xml:space="preserve"> building </w:t>
      </w:r>
      <w:r w:rsidR="00EF1ECC">
        <w:t xml:space="preserve">programs </w:t>
      </w:r>
      <w:r w:rsidR="00A84765" w:rsidRPr="007C1771">
        <w:t xml:space="preserve">should not be one-sided, meaning </w:t>
      </w:r>
      <w:r w:rsidR="00EF1ECC">
        <w:t>they</w:t>
      </w:r>
      <w:r w:rsidR="00A84765" w:rsidRPr="007C1771">
        <w:t xml:space="preserve"> should not only be </w:t>
      </w:r>
      <w:r w:rsidR="00EF1ECC">
        <w:t xml:space="preserve">for </w:t>
      </w:r>
      <w:r w:rsidR="00A84765" w:rsidRPr="007C1771">
        <w:t>people</w:t>
      </w:r>
      <w:r w:rsidR="00F03A00">
        <w:t xml:space="preserve"> with</w:t>
      </w:r>
      <w:r w:rsidR="00247739">
        <w:t xml:space="preserve"> disability</w:t>
      </w:r>
      <w:r w:rsidR="00A84765" w:rsidRPr="007C1771">
        <w:t xml:space="preserve"> who need to build capacity</w:t>
      </w:r>
      <w:r w:rsidR="00014730">
        <w:t xml:space="preserve"> but aim to create change in the broader society to ensure more opportunities, such as employment, </w:t>
      </w:r>
      <w:proofErr w:type="gramStart"/>
      <w:r w:rsidR="00014730">
        <w:t>open up</w:t>
      </w:r>
      <w:proofErr w:type="gramEnd"/>
      <w:r w:rsidR="00A84765" w:rsidRPr="007C1771">
        <w:t>.</w:t>
      </w:r>
    </w:p>
    <w:p w14:paraId="4C60C09B" w14:textId="64238689" w:rsidR="00A84765" w:rsidRPr="007C1771" w:rsidRDefault="00A84765" w:rsidP="00F56CB4">
      <w:pPr>
        <w:spacing w:after="160"/>
      </w:pPr>
      <w:r w:rsidRPr="007C1771">
        <w:rPr>
          <w:b/>
          <w:bCs/>
        </w:rPr>
        <w:t xml:space="preserve">CALD </w:t>
      </w:r>
      <w:r w:rsidR="008B1F4A">
        <w:rPr>
          <w:b/>
          <w:bCs/>
        </w:rPr>
        <w:t>peer connectors</w:t>
      </w:r>
      <w:r w:rsidRPr="007C1771">
        <w:rPr>
          <w:b/>
          <w:bCs/>
        </w:rPr>
        <w:t>:</w:t>
      </w:r>
    </w:p>
    <w:p w14:paraId="7A8B8890" w14:textId="37D848E8" w:rsidR="00A84765" w:rsidRPr="007C1771" w:rsidRDefault="007D6FB4" w:rsidP="00B95BDD">
      <w:pPr>
        <w:numPr>
          <w:ilvl w:val="0"/>
          <w:numId w:val="8"/>
        </w:numPr>
        <w:spacing w:after="160"/>
      </w:pPr>
      <w:r>
        <w:rPr>
          <w:b/>
          <w:bCs/>
        </w:rPr>
        <w:t xml:space="preserve">Too difficult: </w:t>
      </w:r>
      <w:r w:rsidR="00A84765" w:rsidRPr="007C1771">
        <w:t xml:space="preserve">It is hard to sell the concept of capacity building to the community, especially for people with </w:t>
      </w:r>
      <w:r w:rsidR="00470A08" w:rsidRPr="007C1771">
        <w:t>disabil</w:t>
      </w:r>
      <w:r w:rsidR="00470A08">
        <w:t>ity</w:t>
      </w:r>
      <w:r w:rsidR="00A84765" w:rsidRPr="007C1771">
        <w:t>, as it is perceived as too difficult.</w:t>
      </w:r>
      <w:r>
        <w:t xml:space="preserve"> </w:t>
      </w:r>
      <w:r w:rsidRPr="007C1771">
        <w:t xml:space="preserve">There is a need to </w:t>
      </w:r>
      <w:r>
        <w:t xml:space="preserve">do the </w:t>
      </w:r>
      <w:r w:rsidRPr="007C1771">
        <w:t>groundwork</w:t>
      </w:r>
      <w:r>
        <w:t xml:space="preserve"> properly</w:t>
      </w:r>
      <w:r w:rsidRPr="007C1771">
        <w:t xml:space="preserve"> and overcome the stress and pressure associated with capacity building</w:t>
      </w:r>
      <w:r w:rsidR="007C514F">
        <w:t>.</w:t>
      </w:r>
    </w:p>
    <w:p w14:paraId="56030894" w14:textId="3ACF2557" w:rsidR="00A84765" w:rsidRDefault="007D6FB4" w:rsidP="00B95BDD">
      <w:pPr>
        <w:numPr>
          <w:ilvl w:val="0"/>
          <w:numId w:val="8"/>
        </w:numPr>
        <w:spacing w:after="160"/>
      </w:pPr>
      <w:r w:rsidRPr="007C514F">
        <w:rPr>
          <w:b/>
          <w:bCs/>
        </w:rPr>
        <w:t xml:space="preserve">Carers </w:t>
      </w:r>
      <w:r w:rsidR="007C514F" w:rsidRPr="007C514F">
        <w:rPr>
          <w:b/>
          <w:bCs/>
        </w:rPr>
        <w:t xml:space="preserve">take control: </w:t>
      </w:r>
      <w:r w:rsidR="00A84765" w:rsidRPr="007C1771">
        <w:t>Carers</w:t>
      </w:r>
      <w:r w:rsidR="00AE51BE">
        <w:t>, including parents,</w:t>
      </w:r>
      <w:r w:rsidR="00A84765" w:rsidRPr="007C1771">
        <w:t xml:space="preserve"> often take over the lives of those they care for, which can hinder</w:t>
      </w:r>
      <w:r w:rsidR="00641E27">
        <w:t xml:space="preserve"> engagement with capacity building initiatives aimed at creating greater</w:t>
      </w:r>
      <w:r w:rsidR="00A84765" w:rsidRPr="007C1771">
        <w:t xml:space="preserve"> self-sufficiency.</w:t>
      </w:r>
      <w:r w:rsidR="005E4150">
        <w:t xml:space="preserve"> This reinforces the need for </w:t>
      </w:r>
      <w:r w:rsidR="00D60598">
        <w:t>more supported decision</w:t>
      </w:r>
      <w:r w:rsidR="00AE51BE">
        <w:t>-</w:t>
      </w:r>
      <w:r w:rsidR="00D60598">
        <w:t xml:space="preserve">making </w:t>
      </w:r>
      <w:r w:rsidR="005E4150">
        <w:t>capacity building</w:t>
      </w:r>
      <w:r w:rsidR="00D60598">
        <w:t>, as recommended above</w:t>
      </w:r>
      <w:r w:rsidR="00641E27">
        <w:t>, particularly in CALD communities</w:t>
      </w:r>
      <w:r w:rsidR="00D60598">
        <w:t>.</w:t>
      </w:r>
      <w:r w:rsidR="005E4150">
        <w:t xml:space="preserve"> </w:t>
      </w:r>
    </w:p>
    <w:p w14:paraId="19883332" w14:textId="75B8A40F" w:rsidR="008B1F4A" w:rsidRDefault="007D6FB4" w:rsidP="00B95BDD">
      <w:pPr>
        <w:numPr>
          <w:ilvl w:val="0"/>
          <w:numId w:val="8"/>
        </w:numPr>
        <w:spacing w:after="160"/>
      </w:pPr>
      <w:r w:rsidRPr="007D6FB4">
        <w:rPr>
          <w:b/>
          <w:bCs/>
        </w:rPr>
        <w:t xml:space="preserve">Stigma remains: </w:t>
      </w:r>
      <w:r w:rsidR="008B1F4A">
        <w:t>There is a need to break down taboos and misinformation.</w:t>
      </w:r>
      <w:r>
        <w:t xml:space="preserve"> </w:t>
      </w:r>
      <w:r w:rsidR="008B1F4A">
        <w:t>Some believe that having a disabled child is a result of doing something wrong in life.</w:t>
      </w:r>
    </w:p>
    <w:p w14:paraId="327B651D" w14:textId="1D15C2AD" w:rsidR="00AE51BE" w:rsidRDefault="007D6FB4" w:rsidP="00B95BDD">
      <w:pPr>
        <w:numPr>
          <w:ilvl w:val="0"/>
          <w:numId w:val="8"/>
        </w:numPr>
        <w:spacing w:after="160"/>
      </w:pPr>
      <w:r w:rsidRPr="007C514F">
        <w:rPr>
          <w:b/>
          <w:bCs/>
        </w:rPr>
        <w:t xml:space="preserve">Attitude change needed: </w:t>
      </w:r>
      <w:r w:rsidR="008B1F4A">
        <w:t>Changing mindsets within CALD communities about people with disability is important.</w:t>
      </w:r>
    </w:p>
    <w:p w14:paraId="74098D3D" w14:textId="448553FA" w:rsidR="006D7ABE" w:rsidRDefault="006D7ABE" w:rsidP="00F56CB4">
      <w:pPr>
        <w:spacing w:after="160"/>
      </w:pPr>
      <w:r>
        <w:t xml:space="preserve">The need for further capacity building of </w:t>
      </w:r>
      <w:r w:rsidR="00FA0A86">
        <w:t>informal supporters</w:t>
      </w:r>
      <w:r w:rsidR="0073250F">
        <w:t xml:space="preserve"> to enable </w:t>
      </w:r>
      <w:r w:rsidR="00494D65">
        <w:t>the autonomy of people with disability</w:t>
      </w:r>
      <w:r>
        <w:t xml:space="preserve">, as identified </w:t>
      </w:r>
      <w:r w:rsidR="00FA0A86">
        <w:t xml:space="preserve">by the CALD </w:t>
      </w:r>
      <w:r w:rsidR="00216292">
        <w:t>peer connectors</w:t>
      </w:r>
      <w:r w:rsidR="00494D65">
        <w:t xml:space="preserve"> above</w:t>
      </w:r>
      <w:r w:rsidR="00FA0A86">
        <w:t xml:space="preserve">, is </w:t>
      </w:r>
      <w:r w:rsidR="00D96676">
        <w:t xml:space="preserve">further evidence of the </w:t>
      </w:r>
      <w:r w:rsidR="00D778B1">
        <w:t xml:space="preserve">need for the government to implement </w:t>
      </w:r>
      <w:r w:rsidR="00494D65">
        <w:t>A</w:t>
      </w:r>
      <w:r w:rsidR="00D778B1">
        <w:t xml:space="preserve">ction 1.8 from the NDIS Review: </w:t>
      </w:r>
      <w:r w:rsidR="00494D65">
        <w:t>‘</w:t>
      </w:r>
      <w:r w:rsidR="00D778B1" w:rsidRPr="00D778B1">
        <w:t>National Cabinet should agree to jointly invest in a capacity building program for families and caregivers of children with development concerns and disability</w:t>
      </w:r>
      <w:r w:rsidR="00C843F9">
        <w:t>’</w:t>
      </w:r>
      <w:r w:rsidR="008567A8">
        <w:rPr>
          <w:rStyle w:val="FootnoteReference"/>
        </w:rPr>
        <w:footnoteReference w:id="33"/>
      </w:r>
      <w:r w:rsidR="00C843F9">
        <w:t xml:space="preserve">, although it is clear the </w:t>
      </w:r>
      <w:r w:rsidR="00C843F9">
        <w:lastRenderedPageBreak/>
        <w:t>application needs to be broader than stated here.</w:t>
      </w:r>
      <w:r w:rsidR="005B420B">
        <w:t xml:space="preserve"> </w:t>
      </w:r>
      <w:r w:rsidR="006546ED">
        <w:t>Nevertheless, it is clear from our conversations that the</w:t>
      </w:r>
      <w:r w:rsidR="005B420B">
        <w:t xml:space="preserve"> focus of capacity building</w:t>
      </w:r>
      <w:r w:rsidR="006546ED">
        <w:t xml:space="preserve"> initiatives </w:t>
      </w:r>
      <w:r w:rsidR="005B420B">
        <w:t xml:space="preserve">should not </w:t>
      </w:r>
      <w:r w:rsidR="006546ED">
        <w:t>be</w:t>
      </w:r>
      <w:r w:rsidR="00F467D5">
        <w:t xml:space="preserve"> solely on people with disability. </w:t>
      </w:r>
    </w:p>
    <w:p w14:paraId="1BD2C899" w14:textId="77777777" w:rsidR="007F23C3" w:rsidRPr="00A84765" w:rsidRDefault="007F23C3" w:rsidP="00F56CB4">
      <w:pPr>
        <w:spacing w:after="160"/>
      </w:pPr>
    </w:p>
    <w:p w14:paraId="2E1AA0DD" w14:textId="45F52921" w:rsidR="00235A9A" w:rsidRDefault="00235A9A" w:rsidP="00216292">
      <w:pPr>
        <w:pStyle w:val="Heading3"/>
        <w:spacing w:after="160" w:line="360" w:lineRule="auto"/>
        <w:ind w:left="1225" w:hanging="505"/>
      </w:pPr>
      <w:bookmarkStart w:id="46" w:name="_Toc184414896"/>
      <w:r>
        <w:t>Review capacity building approach</w:t>
      </w:r>
      <w:r w:rsidR="005A6E7B">
        <w:t xml:space="preserve"> to target society</w:t>
      </w:r>
      <w:bookmarkEnd w:id="46"/>
    </w:p>
    <w:p w14:paraId="2F0BCCA5" w14:textId="24D9B3D5" w:rsidR="005871D3" w:rsidRDefault="006073E2" w:rsidP="00F56CB4">
      <w:pPr>
        <w:spacing w:after="160"/>
      </w:pPr>
      <w:r>
        <w:t xml:space="preserve">When governments speak </w:t>
      </w:r>
      <w:r w:rsidR="005D7D02">
        <w:t>about</w:t>
      </w:r>
      <w:r>
        <w:t xml:space="preserve"> capacity building</w:t>
      </w:r>
      <w:r w:rsidR="005D7D02">
        <w:t>,</w:t>
      </w:r>
      <w:r w:rsidR="004108F3">
        <w:t xml:space="preserve"> </w:t>
      </w:r>
      <w:r w:rsidR="00B20760">
        <w:t xml:space="preserve">they often place disproportionate emphasis on </w:t>
      </w:r>
      <w:r w:rsidR="00E07D0D">
        <w:t>building the capacity of people with disability</w:t>
      </w:r>
      <w:r w:rsidR="00BD4F84">
        <w:t xml:space="preserve"> and their </w:t>
      </w:r>
      <w:proofErr w:type="spellStart"/>
      <w:r w:rsidR="00BD4F84">
        <w:t>carers</w:t>
      </w:r>
      <w:proofErr w:type="spellEnd"/>
      <w:r w:rsidR="00E22BD8">
        <w:t>,</w:t>
      </w:r>
      <w:r w:rsidR="00903CB7">
        <w:t xml:space="preserve"> trying to somehow fix their disability through therapy or </w:t>
      </w:r>
      <w:r w:rsidR="00E22BD8">
        <w:t>daily living</w:t>
      </w:r>
      <w:r w:rsidR="00903CB7">
        <w:t xml:space="preserve"> skills</w:t>
      </w:r>
      <w:r w:rsidR="00E22BD8">
        <w:t xml:space="preserve"> </w:t>
      </w:r>
      <w:r w:rsidR="00903CB7">
        <w:t>building</w:t>
      </w:r>
      <w:r w:rsidR="00FA01D1">
        <w:t>,</w:t>
      </w:r>
      <w:r w:rsidR="00903CB7">
        <w:t xml:space="preserve"> </w:t>
      </w:r>
      <w:r w:rsidR="00E07D0D">
        <w:t xml:space="preserve">rather than </w:t>
      </w:r>
      <w:r w:rsidR="00D03AAB">
        <w:t xml:space="preserve">on </w:t>
      </w:r>
      <w:r w:rsidR="00A50AB5">
        <w:t xml:space="preserve">increasing the capability of the broader community to be more </w:t>
      </w:r>
      <w:r w:rsidR="00F9179D">
        <w:t>accessible and inclusive.</w:t>
      </w:r>
      <w:r>
        <w:t xml:space="preserve"> </w:t>
      </w:r>
      <w:r w:rsidR="000A2B4B">
        <w:t xml:space="preserve">In the </w:t>
      </w:r>
      <w:r w:rsidR="004B47FA">
        <w:t>p</w:t>
      </w:r>
      <w:r w:rsidR="000A2B4B">
        <w:t>ast decade, t</w:t>
      </w:r>
      <w:r w:rsidR="00E3435C">
        <w:t>he</w:t>
      </w:r>
      <w:r w:rsidR="0047412F">
        <w:t xml:space="preserve">re has undoubtedly been </w:t>
      </w:r>
      <w:r w:rsidR="000A2B4B">
        <w:t>greater government recognition of the</w:t>
      </w:r>
      <w:r w:rsidR="00E3435C">
        <w:t xml:space="preserve"> Social Model of Disability</w:t>
      </w:r>
      <w:r w:rsidR="000A2B4B">
        <w:t>, which</w:t>
      </w:r>
      <w:r w:rsidR="00E3435C">
        <w:t xml:space="preserve"> recognises that disability results from the barriers, attitudes, and exclusion</w:t>
      </w:r>
      <w:r w:rsidR="00CD03CC">
        <w:t>s</w:t>
      </w:r>
      <w:r w:rsidR="00E3435C">
        <w:t xml:space="preserve"> that people encounter as they navigate a society that has not been designed to include all its members. </w:t>
      </w:r>
      <w:r w:rsidR="00B330BE">
        <w:t>P</w:t>
      </w:r>
      <w:r w:rsidR="00E3435C">
        <w:t xml:space="preserve">eople are not disabled by an impairment or difference, but by the world around them. </w:t>
      </w:r>
    </w:p>
    <w:p w14:paraId="50157B58" w14:textId="1811CD3F" w:rsidR="00AB78C7" w:rsidRDefault="00B330BE" w:rsidP="00F56CB4">
      <w:pPr>
        <w:spacing w:after="160"/>
      </w:pPr>
      <w:r>
        <w:t xml:space="preserve">While </w:t>
      </w:r>
      <w:r w:rsidR="00774E82">
        <w:t>governments’</w:t>
      </w:r>
      <w:r w:rsidR="00643AE1">
        <w:t xml:space="preserve"> explicit or direct application of the</w:t>
      </w:r>
      <w:r w:rsidR="00FA308D">
        <w:t xml:space="preserve"> outdated </w:t>
      </w:r>
      <w:r w:rsidR="00CD03CC">
        <w:t>M</w:t>
      </w:r>
      <w:r w:rsidR="00FA308D">
        <w:t xml:space="preserve">edical </w:t>
      </w:r>
      <w:r w:rsidR="00CD03CC">
        <w:t>M</w:t>
      </w:r>
      <w:r w:rsidR="00FA308D">
        <w:t>odel</w:t>
      </w:r>
      <w:r w:rsidR="00CD03CC">
        <w:t xml:space="preserve"> of Disability</w:t>
      </w:r>
      <w:r w:rsidR="00774E82">
        <w:t xml:space="preserve"> has waned, </w:t>
      </w:r>
      <w:r w:rsidR="00FD69D8">
        <w:t xml:space="preserve">placing </w:t>
      </w:r>
      <w:r w:rsidR="00243417">
        <w:t xml:space="preserve">most of the emphasis upon building the capacity of people with disability and their supporters can be interpreted as a perpetuation of the </w:t>
      </w:r>
      <w:r w:rsidR="006F69DB">
        <w:t>M</w:t>
      </w:r>
      <w:r w:rsidR="00243417">
        <w:t xml:space="preserve">edical </w:t>
      </w:r>
      <w:r w:rsidR="006F69DB">
        <w:t>M</w:t>
      </w:r>
      <w:r w:rsidR="00243417">
        <w:t>odel by stealth</w:t>
      </w:r>
      <w:r w:rsidR="00522EA5">
        <w:t xml:space="preserve"> or omission. </w:t>
      </w:r>
      <w:r w:rsidR="006F69DB">
        <w:t>It clearly implies the change that is needed is with people with disability rather than society.</w:t>
      </w:r>
      <w:r w:rsidR="00FA308D">
        <w:t xml:space="preserve"> </w:t>
      </w:r>
      <w:r w:rsidR="00E3435C">
        <w:t xml:space="preserve">It is essential </w:t>
      </w:r>
      <w:r w:rsidR="00FA3AA9">
        <w:t xml:space="preserve">that </w:t>
      </w:r>
      <w:r w:rsidR="00522EA5">
        <w:t>Foundational Supports</w:t>
      </w:r>
      <w:r w:rsidR="00E3435C">
        <w:t xml:space="preserve"> refle</w:t>
      </w:r>
      <w:r w:rsidR="00FA3AA9">
        <w:t>c</w:t>
      </w:r>
      <w:r w:rsidR="00E3435C">
        <w:t>t</w:t>
      </w:r>
      <w:r w:rsidR="00FA3AA9">
        <w:t>s</w:t>
      </w:r>
      <w:r w:rsidR="00E3435C">
        <w:t xml:space="preserve"> the Social Model of Disability and does not perpetuate outdated medical or charity approaches to disability that regard people as ‘problems’ to be fixed or </w:t>
      </w:r>
      <w:r w:rsidR="00014A8A">
        <w:t>people who cannot</w:t>
      </w:r>
      <w:r w:rsidR="00E3435C">
        <w:t xml:space="preserve"> live meaningful contributing lives in communities.</w:t>
      </w:r>
      <w:r w:rsidR="00D579AB">
        <w:t xml:space="preserve"> </w:t>
      </w:r>
      <w:r w:rsidR="006D3DDD">
        <w:t>The NDIS Review</w:t>
      </w:r>
      <w:r w:rsidR="00D702A2">
        <w:t xml:space="preserve">, </w:t>
      </w:r>
      <w:r w:rsidR="001613AE">
        <w:t>for example with</w:t>
      </w:r>
      <w:r w:rsidR="00D702A2">
        <w:t xml:space="preserve"> Actions 1.3 and 2.2</w:t>
      </w:r>
      <w:r w:rsidR="00412F65">
        <w:t xml:space="preserve">, recognised the need to build the capacity of </w:t>
      </w:r>
      <w:r w:rsidR="002B7FAE">
        <w:t>community and government organisations</w:t>
      </w:r>
      <w:r w:rsidR="001613AE">
        <w:t xml:space="preserve">, and it is a shame the emphasis </w:t>
      </w:r>
      <w:r w:rsidR="00D9323D">
        <w:t xml:space="preserve">on this need appeared to be lost in the </w:t>
      </w:r>
      <w:r w:rsidR="00D63348">
        <w:t>Consultation</w:t>
      </w:r>
      <w:r w:rsidR="00D9323D">
        <w:t xml:space="preserve"> Paper.</w:t>
      </w:r>
      <w:r w:rsidR="00D702A2">
        <w:t xml:space="preserve"> </w:t>
      </w:r>
    </w:p>
    <w:p w14:paraId="21E77651" w14:textId="1DEF5C70" w:rsidR="00765B13" w:rsidRDefault="000F57F8" w:rsidP="00F56CB4">
      <w:pPr>
        <w:spacing w:after="160"/>
      </w:pPr>
      <w:r>
        <w:t xml:space="preserve">Alongside this, the </w:t>
      </w:r>
      <w:proofErr w:type="gramStart"/>
      <w:r>
        <w:t>main focus</w:t>
      </w:r>
      <w:proofErr w:type="gramEnd"/>
      <w:r>
        <w:t xml:space="preserve"> </w:t>
      </w:r>
      <w:r w:rsidR="00CE0B74">
        <w:t>of capacity</w:t>
      </w:r>
      <w:r w:rsidR="00E22BD8">
        <w:t xml:space="preserve"> </w:t>
      </w:r>
      <w:r w:rsidR="00CE0B74">
        <w:t>building for people w</w:t>
      </w:r>
      <w:r w:rsidR="00E22BD8">
        <w:t>i</w:t>
      </w:r>
      <w:r w:rsidR="00CE0B74">
        <w:t xml:space="preserve">th disability and their families should be on unlearning low expectations </w:t>
      </w:r>
      <w:r w:rsidR="00E22BD8">
        <w:t>and</w:t>
      </w:r>
      <w:r w:rsidR="00E95604">
        <w:t xml:space="preserve"> roles of </w:t>
      </w:r>
      <w:r w:rsidR="00E22BD8">
        <w:t xml:space="preserve">service </w:t>
      </w:r>
      <w:proofErr w:type="gramStart"/>
      <w:r w:rsidR="00E95604">
        <w:t>recipiency, and</w:t>
      </w:r>
      <w:proofErr w:type="gramEnd"/>
      <w:r w:rsidR="00E95604">
        <w:t xml:space="preserve"> replacing th</w:t>
      </w:r>
      <w:r w:rsidR="00C83283">
        <w:t>e</w:t>
      </w:r>
      <w:r w:rsidR="00E95604">
        <w:t xml:space="preserve">se with an empowered view of a good life characterised by </w:t>
      </w:r>
      <w:r w:rsidR="00765B13">
        <w:t>active valued membership in community life and the economy</w:t>
      </w:r>
      <w:r w:rsidR="00C83283">
        <w:t>, along with the personal and family leadership that can help bring this about</w:t>
      </w:r>
      <w:r w:rsidR="00765B13">
        <w:t>.</w:t>
      </w:r>
    </w:p>
    <w:p w14:paraId="16886BAA" w14:textId="77777777" w:rsidR="00765B13" w:rsidRDefault="00E309FA" w:rsidP="00F56CB4">
      <w:pPr>
        <w:spacing w:after="160"/>
        <w:rPr>
          <w:b/>
          <w:bCs/>
        </w:rPr>
      </w:pPr>
      <w:bookmarkStart w:id="47" w:name="_Hlk184409035"/>
      <w:r w:rsidRPr="00D32B70">
        <w:rPr>
          <w:rStyle w:val="Heading4Char"/>
        </w:rPr>
        <w:lastRenderedPageBreak/>
        <w:t>Recommendation 1</w:t>
      </w:r>
      <w:r w:rsidR="0068009F">
        <w:rPr>
          <w:rStyle w:val="Heading4Char"/>
        </w:rPr>
        <w:t>7</w:t>
      </w:r>
      <w:r w:rsidRPr="00D32B70">
        <w:rPr>
          <w:rStyle w:val="Heading4Char"/>
        </w:rPr>
        <w:t xml:space="preserve">: </w:t>
      </w:r>
      <w:r w:rsidRPr="00125104">
        <w:rPr>
          <w:b/>
          <w:bCs/>
        </w:rPr>
        <w:t xml:space="preserve">The </w:t>
      </w:r>
      <w:r w:rsidR="004F36A3">
        <w:rPr>
          <w:b/>
          <w:bCs/>
        </w:rPr>
        <w:t>Australian Government</w:t>
      </w:r>
      <w:r w:rsidRPr="00125104">
        <w:rPr>
          <w:b/>
          <w:bCs/>
        </w:rPr>
        <w:t xml:space="preserve"> </w:t>
      </w:r>
      <w:r>
        <w:rPr>
          <w:b/>
          <w:bCs/>
        </w:rPr>
        <w:t xml:space="preserve">should ensure </w:t>
      </w:r>
      <w:r w:rsidR="00040FBF">
        <w:rPr>
          <w:b/>
          <w:bCs/>
        </w:rPr>
        <w:t>the design of</w:t>
      </w:r>
      <w:r>
        <w:rPr>
          <w:b/>
          <w:bCs/>
        </w:rPr>
        <w:t xml:space="preserve"> </w:t>
      </w:r>
      <w:r w:rsidR="004F36A3">
        <w:rPr>
          <w:b/>
          <w:bCs/>
        </w:rPr>
        <w:t>c</w:t>
      </w:r>
      <w:r w:rsidR="00040FBF">
        <w:rPr>
          <w:b/>
          <w:bCs/>
        </w:rPr>
        <w:t xml:space="preserve">apacity </w:t>
      </w:r>
      <w:r w:rsidR="004F36A3">
        <w:rPr>
          <w:b/>
          <w:bCs/>
        </w:rPr>
        <w:t>b</w:t>
      </w:r>
      <w:r w:rsidR="00040FBF">
        <w:rPr>
          <w:b/>
          <w:bCs/>
        </w:rPr>
        <w:t xml:space="preserve">uilding supports within </w:t>
      </w:r>
      <w:r w:rsidR="00913707">
        <w:rPr>
          <w:b/>
          <w:bCs/>
        </w:rPr>
        <w:t>the Foundational Supports</w:t>
      </w:r>
      <w:r w:rsidR="004F36A3">
        <w:rPr>
          <w:b/>
          <w:bCs/>
        </w:rPr>
        <w:t xml:space="preserve"> </w:t>
      </w:r>
      <w:r w:rsidR="00913707">
        <w:rPr>
          <w:b/>
          <w:bCs/>
        </w:rPr>
        <w:t xml:space="preserve">Strategy aligns with the </w:t>
      </w:r>
      <w:r w:rsidR="004579EB">
        <w:rPr>
          <w:b/>
          <w:bCs/>
        </w:rPr>
        <w:t>Social Model of Disability</w:t>
      </w:r>
      <w:r w:rsidR="00040FBF">
        <w:rPr>
          <w:b/>
          <w:bCs/>
        </w:rPr>
        <w:t xml:space="preserve"> </w:t>
      </w:r>
      <w:r w:rsidR="00E2148F">
        <w:rPr>
          <w:b/>
          <w:bCs/>
        </w:rPr>
        <w:t>and does not perpetuate the Medical Model</w:t>
      </w:r>
      <w:r w:rsidR="00E5560D">
        <w:rPr>
          <w:b/>
          <w:bCs/>
        </w:rPr>
        <w:t xml:space="preserve"> or focus all the attention on changing people with disability rather than society</w:t>
      </w:r>
      <w:r>
        <w:rPr>
          <w:b/>
          <w:bCs/>
        </w:rPr>
        <w:t>.</w:t>
      </w:r>
      <w:r w:rsidR="00E2148F">
        <w:rPr>
          <w:b/>
          <w:bCs/>
        </w:rPr>
        <w:t xml:space="preserve"> It can do so by ensuring there is</w:t>
      </w:r>
      <w:r w:rsidR="00765B13">
        <w:rPr>
          <w:b/>
          <w:bCs/>
        </w:rPr>
        <w:t>:</w:t>
      </w:r>
    </w:p>
    <w:p w14:paraId="299851CF" w14:textId="168BC5A0" w:rsidR="00A62C08" w:rsidRDefault="00E22BD8" w:rsidP="00E22BD8">
      <w:pPr>
        <w:pStyle w:val="ListParagraph"/>
        <w:numPr>
          <w:ilvl w:val="0"/>
          <w:numId w:val="17"/>
        </w:numPr>
        <w:spacing w:after="160"/>
        <w:rPr>
          <w:b/>
          <w:bCs/>
        </w:rPr>
      </w:pPr>
      <w:r>
        <w:rPr>
          <w:b/>
        </w:rPr>
        <w:t>A</w:t>
      </w:r>
      <w:r w:rsidR="00E2148F" w:rsidRPr="005B2757">
        <w:rPr>
          <w:b/>
        </w:rPr>
        <w:t xml:space="preserve">n emphasis on building the </w:t>
      </w:r>
      <w:r w:rsidR="00D35BED" w:rsidRPr="005B2757">
        <w:rPr>
          <w:b/>
        </w:rPr>
        <w:t xml:space="preserve">capacity </w:t>
      </w:r>
      <w:r w:rsidR="00334683" w:rsidRPr="005B2757">
        <w:rPr>
          <w:b/>
        </w:rPr>
        <w:t xml:space="preserve">of the </w:t>
      </w:r>
      <w:r w:rsidR="00D35BED" w:rsidRPr="005B2757">
        <w:rPr>
          <w:b/>
        </w:rPr>
        <w:t xml:space="preserve">broader </w:t>
      </w:r>
      <w:r w:rsidR="00E2148F" w:rsidRPr="005B2757">
        <w:rPr>
          <w:b/>
        </w:rPr>
        <w:t>community</w:t>
      </w:r>
      <w:r w:rsidR="00E309FA" w:rsidRPr="005B2757">
        <w:rPr>
          <w:b/>
        </w:rPr>
        <w:t xml:space="preserve"> </w:t>
      </w:r>
      <w:r w:rsidR="00D35BED" w:rsidRPr="005B2757">
        <w:rPr>
          <w:b/>
        </w:rPr>
        <w:t>to be</w:t>
      </w:r>
      <w:r w:rsidR="00E309FA" w:rsidRPr="005B2757">
        <w:rPr>
          <w:b/>
        </w:rPr>
        <w:t xml:space="preserve"> </w:t>
      </w:r>
      <w:r w:rsidR="009C3122" w:rsidRPr="005B2757">
        <w:rPr>
          <w:b/>
        </w:rPr>
        <w:t xml:space="preserve">accessible and inclusive </w:t>
      </w:r>
      <w:r w:rsidR="001345FC" w:rsidRPr="005B2757">
        <w:rPr>
          <w:b/>
        </w:rPr>
        <w:t xml:space="preserve">of </w:t>
      </w:r>
      <w:r w:rsidR="00A62C08" w:rsidRPr="005B2757">
        <w:rPr>
          <w:b/>
        </w:rPr>
        <w:t>all their members</w:t>
      </w:r>
      <w:r w:rsidR="001345FC" w:rsidRPr="005B2757">
        <w:rPr>
          <w:b/>
        </w:rPr>
        <w:t>.</w:t>
      </w:r>
      <w:r w:rsidR="002360C7" w:rsidRPr="005B2757">
        <w:rPr>
          <w:b/>
        </w:rPr>
        <w:t xml:space="preserve"> This would include</w:t>
      </w:r>
      <w:r w:rsidR="00460C8D" w:rsidRPr="005B2757">
        <w:rPr>
          <w:b/>
        </w:rPr>
        <w:t xml:space="preserve"> </w:t>
      </w:r>
      <w:r w:rsidR="00A62C08" w:rsidRPr="005B2757">
        <w:rPr>
          <w:b/>
        </w:rPr>
        <w:t xml:space="preserve">better educating governments, government departments and agencies, </w:t>
      </w:r>
      <w:r w:rsidR="0033651F" w:rsidRPr="005B2757">
        <w:rPr>
          <w:b/>
        </w:rPr>
        <w:t xml:space="preserve">local governments, service providers, </w:t>
      </w:r>
      <w:r w:rsidR="00A62C08" w:rsidRPr="005B2757">
        <w:rPr>
          <w:b/>
        </w:rPr>
        <w:t>businesses, employers</w:t>
      </w:r>
      <w:r w:rsidR="0033651F" w:rsidRPr="005B2757">
        <w:rPr>
          <w:b/>
        </w:rPr>
        <w:t>, schools, universities, community organisations,</w:t>
      </w:r>
      <w:r w:rsidR="00D24D3F" w:rsidRPr="005B2757">
        <w:rPr>
          <w:b/>
        </w:rPr>
        <w:t xml:space="preserve"> and</w:t>
      </w:r>
      <w:r w:rsidR="009F611F" w:rsidRPr="005B2757">
        <w:rPr>
          <w:b/>
        </w:rPr>
        <w:t xml:space="preserve"> the </w:t>
      </w:r>
      <w:proofErr w:type="gramStart"/>
      <w:r w:rsidR="00D24D3F" w:rsidRPr="005B2757">
        <w:rPr>
          <w:b/>
        </w:rPr>
        <w:t xml:space="preserve">general </w:t>
      </w:r>
      <w:r w:rsidR="009F611F" w:rsidRPr="005B2757">
        <w:rPr>
          <w:b/>
        </w:rPr>
        <w:t>public</w:t>
      </w:r>
      <w:proofErr w:type="gramEnd"/>
      <w:r>
        <w:rPr>
          <w:b/>
        </w:rPr>
        <w:t xml:space="preserve"> about genuine inclusion. </w:t>
      </w:r>
    </w:p>
    <w:p w14:paraId="5DAFE858" w14:textId="4CC89E6E" w:rsidR="00765B13" w:rsidRDefault="00E22BD8" w:rsidP="00E22BD8">
      <w:pPr>
        <w:pStyle w:val="ListParagraph"/>
        <w:numPr>
          <w:ilvl w:val="0"/>
          <w:numId w:val="17"/>
        </w:numPr>
        <w:spacing w:after="160"/>
        <w:rPr>
          <w:b/>
        </w:rPr>
      </w:pPr>
      <w:r>
        <w:rPr>
          <w:b/>
          <w:bCs/>
        </w:rPr>
        <w:t>Providing c</w:t>
      </w:r>
      <w:r w:rsidR="00C83283">
        <w:rPr>
          <w:b/>
          <w:bCs/>
        </w:rPr>
        <w:t>apacity</w:t>
      </w:r>
      <w:r>
        <w:rPr>
          <w:b/>
          <w:bCs/>
        </w:rPr>
        <w:t xml:space="preserve"> </w:t>
      </w:r>
      <w:r w:rsidR="00C83283">
        <w:rPr>
          <w:b/>
          <w:bCs/>
        </w:rPr>
        <w:t>building for people with disability and their families that focuses on unlearning low expectations, building a strong vision of active valued membership in community life, and personal and family leadership</w:t>
      </w:r>
      <w:r>
        <w:rPr>
          <w:b/>
          <w:bCs/>
        </w:rPr>
        <w:t>.</w:t>
      </w:r>
      <w:bookmarkEnd w:id="47"/>
    </w:p>
    <w:p w14:paraId="58C57CFB" w14:textId="77777777" w:rsidR="00C83283" w:rsidRPr="00E22BD8" w:rsidRDefault="00C83283" w:rsidP="00C83283">
      <w:pPr>
        <w:spacing w:after="160"/>
      </w:pPr>
    </w:p>
    <w:p w14:paraId="691BC6C3" w14:textId="7A5BDA3E" w:rsidR="000B578E" w:rsidRDefault="000B578E" w:rsidP="0068009F">
      <w:pPr>
        <w:pStyle w:val="Heading3"/>
        <w:spacing w:after="160" w:line="360" w:lineRule="auto"/>
        <w:ind w:left="1225" w:hanging="505"/>
      </w:pPr>
      <w:bookmarkStart w:id="48" w:name="_Toc184414897"/>
      <w:r>
        <w:t>Economic inclusion</w:t>
      </w:r>
      <w:r w:rsidR="005A6E7B">
        <w:t xml:space="preserve"> </w:t>
      </w:r>
      <w:r w:rsidR="00A0710C">
        <w:t>must not be overlooked</w:t>
      </w:r>
      <w:bookmarkEnd w:id="48"/>
    </w:p>
    <w:p w14:paraId="5B2CC319" w14:textId="77777777" w:rsidR="008347A7" w:rsidRDefault="007F7E5D" w:rsidP="00F56CB4">
      <w:pPr>
        <w:spacing w:after="160"/>
      </w:pPr>
      <w:r w:rsidRPr="007F7E5D">
        <w:t xml:space="preserve">Research shows </w:t>
      </w:r>
      <w:r w:rsidRPr="007F7E5D">
        <w:rPr>
          <w:b/>
          <w:bCs/>
        </w:rPr>
        <w:t xml:space="preserve">that diverse workforces perform better and create a competitive advantage </w:t>
      </w:r>
      <w:r w:rsidRPr="007F7E5D">
        <w:t>for commercial businesses.</w:t>
      </w:r>
      <w:r w:rsidR="0089025C">
        <w:rPr>
          <w:rStyle w:val="FootnoteReference"/>
        </w:rPr>
        <w:footnoteReference w:id="34"/>
      </w:r>
      <w:r w:rsidRPr="007F7E5D">
        <w:t xml:space="preserve"> Yet, Australians with disability continue to encounter significant barriers to entering mainstream employment and it is extremely important that broader work is undertaken to change this. Under </w:t>
      </w:r>
      <w:r w:rsidRPr="007F7E5D">
        <w:rPr>
          <w:i/>
          <w:iCs/>
        </w:rPr>
        <w:t xml:space="preserve">Australia’s Disability Strategy 2021-2031 </w:t>
      </w:r>
      <w:r w:rsidRPr="007F7E5D">
        <w:t xml:space="preserve">and the accompanying disability employment strategy ‘Employ my ability’, all tiers of government have committed to increasing employment levels of people with disability and tackling barriers. </w:t>
      </w:r>
    </w:p>
    <w:p w14:paraId="05ED1C5F" w14:textId="7EC1D314" w:rsidR="00C06E5C" w:rsidRDefault="000E4FEC" w:rsidP="00F56CB4">
      <w:pPr>
        <w:spacing w:after="160"/>
      </w:pPr>
      <w:r>
        <w:t xml:space="preserve">It is important for </w:t>
      </w:r>
      <w:r w:rsidR="00FE73F6">
        <w:t>Foundational Supports</w:t>
      </w:r>
      <w:r>
        <w:t xml:space="preserve"> to </w:t>
      </w:r>
      <w:r w:rsidR="00560AE3">
        <w:t>continue to fund programs like JFA Purple Orange’s Road to Employment program</w:t>
      </w:r>
      <w:r w:rsidR="00732FAD">
        <w:t xml:space="preserve"> (currently funded through ILC)</w:t>
      </w:r>
      <w:r w:rsidR="00560AE3">
        <w:t>, which works to</w:t>
      </w:r>
      <w:r w:rsidR="007F7E5D" w:rsidRPr="007F7E5D">
        <w:t xml:space="preserve"> shift perceptions about </w:t>
      </w:r>
      <w:r w:rsidR="00EC482F">
        <w:t xml:space="preserve">the </w:t>
      </w:r>
      <w:r w:rsidR="007F7E5D" w:rsidRPr="007F7E5D">
        <w:t xml:space="preserve">employability </w:t>
      </w:r>
      <w:r w:rsidR="00EC482F">
        <w:t>o</w:t>
      </w:r>
      <w:r w:rsidR="00655434">
        <w:t>f</w:t>
      </w:r>
      <w:r w:rsidR="00EC482F">
        <w:t xml:space="preserve"> people with disability from </w:t>
      </w:r>
      <w:r w:rsidR="00B65D02">
        <w:t xml:space="preserve">a </w:t>
      </w:r>
      <w:r w:rsidR="008C5B41">
        <w:t>pre-school age through to adulthood</w:t>
      </w:r>
      <w:r w:rsidR="00EA0222">
        <w:t xml:space="preserve"> </w:t>
      </w:r>
      <w:r w:rsidR="00A445D8">
        <w:t>and supports employers to become more inclusive and accessible.</w:t>
      </w:r>
      <w:r w:rsidR="00EA0222">
        <w:t xml:space="preserve"> </w:t>
      </w:r>
      <w:r w:rsidR="003803F1">
        <w:t xml:space="preserve">Projects </w:t>
      </w:r>
      <w:r w:rsidR="003803F1">
        <w:lastRenderedPageBreak/>
        <w:t>such as this will result in</w:t>
      </w:r>
      <w:r w:rsidR="007F7E5D" w:rsidRPr="007F7E5D">
        <w:t xml:space="preserve"> a </w:t>
      </w:r>
      <w:r w:rsidR="007F7E5D" w:rsidRPr="007F7E5D">
        <w:rPr>
          <w:b/>
          <w:bCs/>
        </w:rPr>
        <w:t xml:space="preserve">greater presence and visibility </w:t>
      </w:r>
      <w:r w:rsidR="007F7E5D" w:rsidRPr="007F7E5D">
        <w:t>of people with disability in the Australian workforce</w:t>
      </w:r>
      <w:r w:rsidR="00031C51">
        <w:t xml:space="preserve">, including </w:t>
      </w:r>
      <w:r w:rsidR="001A30D3">
        <w:t>in</w:t>
      </w:r>
      <w:r w:rsidR="00031C51">
        <w:t xml:space="preserve"> government agencies</w:t>
      </w:r>
      <w:r w:rsidR="00920AB6">
        <w:t>.</w:t>
      </w:r>
      <w:r w:rsidR="00C818D8">
        <w:t xml:space="preserve"> </w:t>
      </w:r>
    </w:p>
    <w:p w14:paraId="38BB5A49" w14:textId="66D59DAB" w:rsidR="00EA6C8F" w:rsidRDefault="00066450" w:rsidP="00F56CB4">
      <w:pPr>
        <w:spacing w:after="160"/>
      </w:pPr>
      <w:r>
        <w:t xml:space="preserve">While the </w:t>
      </w:r>
      <w:r w:rsidR="00D13BD5">
        <w:t>consultation</w:t>
      </w:r>
      <w:r>
        <w:t xml:space="preserve"> paper focuses on social participation, </w:t>
      </w:r>
      <w:r w:rsidR="00D938CE">
        <w:t xml:space="preserve">it is important to recognise that economic and social participation are intertwined. It would </w:t>
      </w:r>
      <w:r w:rsidR="006266E2">
        <w:t>be</w:t>
      </w:r>
      <w:r w:rsidR="00D938CE">
        <w:t xml:space="preserve"> artificial to separate the two, purely for the purposes of </w:t>
      </w:r>
      <w:r w:rsidR="00DF2BA0">
        <w:t xml:space="preserve">fitting into </w:t>
      </w:r>
      <w:r w:rsidR="00D938CE">
        <w:t xml:space="preserve">different funding programs. </w:t>
      </w:r>
      <w:r w:rsidR="00DA1E84">
        <w:t xml:space="preserve">Economic participation is an integral component of belonging in one’s community. </w:t>
      </w:r>
      <w:r w:rsidR="00CA1529">
        <w:t>Being employed</w:t>
      </w:r>
      <w:r w:rsidR="00C46FCB">
        <w:t xml:space="preserve"> </w:t>
      </w:r>
      <w:r w:rsidR="00915E97">
        <w:t>can create</w:t>
      </w:r>
      <w:r w:rsidR="00C46FCB">
        <w:t xml:space="preserve"> social opportunities</w:t>
      </w:r>
      <w:r w:rsidR="00B522FF">
        <w:t xml:space="preserve">, build confidence and connections, </w:t>
      </w:r>
      <w:r w:rsidR="00915E97">
        <w:t xml:space="preserve">strengthen skills and knowledge, and broaden </w:t>
      </w:r>
      <w:r w:rsidR="000D3E90">
        <w:t xml:space="preserve">informal support networks. </w:t>
      </w:r>
      <w:r w:rsidR="00140753">
        <w:t xml:space="preserve">It is essential that the Foundational Supports </w:t>
      </w:r>
      <w:r w:rsidR="009B00FF">
        <w:t>Strategy</w:t>
      </w:r>
      <w:r w:rsidR="00140753">
        <w:t xml:space="preserve"> </w:t>
      </w:r>
      <w:r w:rsidR="00137CBA">
        <w:t xml:space="preserve">extends to </w:t>
      </w:r>
      <w:r w:rsidR="007A245E">
        <w:t>capacity building for</w:t>
      </w:r>
      <w:r w:rsidR="00834881">
        <w:t xml:space="preserve"> the wider </w:t>
      </w:r>
      <w:r w:rsidR="008C5EF5">
        <w:t xml:space="preserve">community </w:t>
      </w:r>
      <w:r w:rsidR="00B07DC1">
        <w:t xml:space="preserve">to </w:t>
      </w:r>
      <w:r w:rsidR="00E23F84">
        <w:t>support</w:t>
      </w:r>
      <w:r w:rsidR="002A7C93">
        <w:t xml:space="preserve"> disability employment</w:t>
      </w:r>
      <w:r w:rsidR="00B23A21">
        <w:t>, create</w:t>
      </w:r>
      <w:r w:rsidR="002A7C93">
        <w:t xml:space="preserve"> more </w:t>
      </w:r>
      <w:r w:rsidR="00B07DC1">
        <w:t>inclusive employers</w:t>
      </w:r>
      <w:r w:rsidR="00B23A21">
        <w:t xml:space="preserve">, and ensure all education and training </w:t>
      </w:r>
      <w:r w:rsidR="001E1578">
        <w:t xml:space="preserve">is accessible and welcoming of </w:t>
      </w:r>
      <w:r w:rsidR="00C3298B">
        <w:t>everyone</w:t>
      </w:r>
      <w:r w:rsidR="00B07DC1">
        <w:t>.</w:t>
      </w:r>
      <w:r w:rsidR="00C3298B">
        <w:t xml:space="preserve"> Education a</w:t>
      </w:r>
      <w:r w:rsidR="0068009F">
        <w:t>t</w:t>
      </w:r>
      <w:r w:rsidR="00C3298B">
        <w:t xml:space="preserve"> an inclusive mainstream school is more likely to result in a</w:t>
      </w:r>
      <w:r w:rsidR="0068009F">
        <w:t xml:space="preserve"> person having an included life as an adult. </w:t>
      </w:r>
    </w:p>
    <w:p w14:paraId="44407A05" w14:textId="0C04D8B5" w:rsidR="00753770" w:rsidRDefault="001345FC" w:rsidP="00F56CB4">
      <w:pPr>
        <w:spacing w:after="160"/>
        <w:rPr>
          <w:b/>
          <w:bCs/>
        </w:rPr>
      </w:pPr>
      <w:bookmarkStart w:id="49" w:name="_Hlk184409048"/>
      <w:r w:rsidRPr="0068009F">
        <w:rPr>
          <w:rStyle w:val="Heading4Char"/>
        </w:rPr>
        <w:t>Recommendation 1</w:t>
      </w:r>
      <w:r w:rsidR="0068009F" w:rsidRPr="0068009F">
        <w:rPr>
          <w:rStyle w:val="Heading4Char"/>
        </w:rPr>
        <w:t>8</w:t>
      </w:r>
      <w:r w:rsidRPr="0068009F">
        <w:rPr>
          <w:rStyle w:val="Heading4Char"/>
        </w:rPr>
        <w:t>:</w:t>
      </w:r>
      <w:r>
        <w:rPr>
          <w:b/>
          <w:bCs/>
          <w:color w:val="7030A0"/>
        </w:rPr>
        <w:t xml:space="preserve"> </w:t>
      </w:r>
      <w:r w:rsidRPr="00125104">
        <w:rPr>
          <w:b/>
          <w:bCs/>
        </w:rPr>
        <w:t xml:space="preserve">The </w:t>
      </w:r>
      <w:r w:rsidR="00DE7B2A">
        <w:rPr>
          <w:b/>
          <w:bCs/>
        </w:rPr>
        <w:t>Australian Government</w:t>
      </w:r>
      <w:r w:rsidRPr="00125104">
        <w:rPr>
          <w:b/>
          <w:bCs/>
        </w:rPr>
        <w:t xml:space="preserve"> </w:t>
      </w:r>
      <w:r>
        <w:rPr>
          <w:b/>
          <w:bCs/>
        </w:rPr>
        <w:t xml:space="preserve">should </w:t>
      </w:r>
      <w:r w:rsidR="00323F8B">
        <w:rPr>
          <w:b/>
          <w:bCs/>
        </w:rPr>
        <w:t>ensure the Foundational Supports</w:t>
      </w:r>
      <w:r w:rsidR="00DE7B2A">
        <w:rPr>
          <w:b/>
          <w:bCs/>
        </w:rPr>
        <w:t xml:space="preserve"> Strategy</w:t>
      </w:r>
      <w:r w:rsidR="00323F8B">
        <w:rPr>
          <w:b/>
          <w:bCs/>
        </w:rPr>
        <w:t xml:space="preserve"> includes support </w:t>
      </w:r>
      <w:r w:rsidR="00D73DB6">
        <w:rPr>
          <w:b/>
          <w:bCs/>
        </w:rPr>
        <w:t xml:space="preserve">for the economic participation of people with disability, recognising that </w:t>
      </w:r>
      <w:r w:rsidR="008E251D">
        <w:rPr>
          <w:b/>
          <w:bCs/>
        </w:rPr>
        <w:t xml:space="preserve">this is an integral part of </w:t>
      </w:r>
      <w:r w:rsidR="00380F86">
        <w:rPr>
          <w:b/>
          <w:bCs/>
        </w:rPr>
        <w:t>belonging and participating in one’s local community.</w:t>
      </w:r>
      <w:r w:rsidR="00E913AF">
        <w:rPr>
          <w:b/>
          <w:bCs/>
        </w:rPr>
        <w:t xml:space="preserve"> </w:t>
      </w:r>
      <w:r w:rsidR="00CD3D64">
        <w:rPr>
          <w:b/>
          <w:bCs/>
        </w:rPr>
        <w:t xml:space="preserve">Community capacity building should </w:t>
      </w:r>
      <w:r w:rsidR="00F3022A">
        <w:rPr>
          <w:b/>
          <w:bCs/>
        </w:rPr>
        <w:t>extend</w:t>
      </w:r>
      <w:r w:rsidR="00CD3D64">
        <w:rPr>
          <w:b/>
          <w:bCs/>
        </w:rPr>
        <w:t xml:space="preserve"> beyond </w:t>
      </w:r>
      <w:r w:rsidR="00F3022A">
        <w:rPr>
          <w:b/>
          <w:bCs/>
        </w:rPr>
        <w:t>‘</w:t>
      </w:r>
      <w:r w:rsidR="00E40C51">
        <w:rPr>
          <w:b/>
          <w:bCs/>
        </w:rPr>
        <w:t>community organisations and non-government groups</w:t>
      </w:r>
      <w:r w:rsidR="00F3022A">
        <w:rPr>
          <w:b/>
          <w:bCs/>
        </w:rPr>
        <w:t>’</w:t>
      </w:r>
      <w:r w:rsidR="00004D87">
        <w:rPr>
          <w:b/>
          <w:bCs/>
        </w:rPr>
        <w:t xml:space="preserve"> to include </w:t>
      </w:r>
      <w:r w:rsidR="0070662F">
        <w:rPr>
          <w:b/>
          <w:bCs/>
        </w:rPr>
        <w:t xml:space="preserve">all entities that can </w:t>
      </w:r>
      <w:r w:rsidR="00370BD9">
        <w:rPr>
          <w:b/>
          <w:bCs/>
        </w:rPr>
        <w:t>positively</w:t>
      </w:r>
      <w:r w:rsidR="0070662F">
        <w:rPr>
          <w:b/>
          <w:bCs/>
        </w:rPr>
        <w:t xml:space="preserve"> impact on employment outcomes for people with disability, such as schools, </w:t>
      </w:r>
      <w:r w:rsidR="006A18A6">
        <w:rPr>
          <w:b/>
          <w:bCs/>
        </w:rPr>
        <w:t>universities,</w:t>
      </w:r>
      <w:r w:rsidR="00B74652">
        <w:rPr>
          <w:b/>
          <w:bCs/>
        </w:rPr>
        <w:t xml:space="preserve"> </w:t>
      </w:r>
      <w:r w:rsidR="0087694A">
        <w:rPr>
          <w:b/>
          <w:bCs/>
        </w:rPr>
        <w:t>employment service providers</w:t>
      </w:r>
      <w:r w:rsidR="00B74652">
        <w:rPr>
          <w:b/>
          <w:bCs/>
        </w:rPr>
        <w:t>,</w:t>
      </w:r>
      <w:r w:rsidR="0070662F">
        <w:rPr>
          <w:b/>
          <w:bCs/>
        </w:rPr>
        <w:t xml:space="preserve"> </w:t>
      </w:r>
      <w:r w:rsidR="00B74652">
        <w:rPr>
          <w:b/>
          <w:bCs/>
        </w:rPr>
        <w:t xml:space="preserve">employers, </w:t>
      </w:r>
      <w:r w:rsidR="009B42FA">
        <w:rPr>
          <w:b/>
          <w:bCs/>
        </w:rPr>
        <w:t xml:space="preserve">all tiers of government, </w:t>
      </w:r>
      <w:r w:rsidR="00B74652">
        <w:rPr>
          <w:b/>
          <w:bCs/>
        </w:rPr>
        <w:t xml:space="preserve">and </w:t>
      </w:r>
      <w:r w:rsidR="009B42FA">
        <w:rPr>
          <w:b/>
          <w:bCs/>
        </w:rPr>
        <w:t>others</w:t>
      </w:r>
      <w:r w:rsidR="0070662F">
        <w:rPr>
          <w:b/>
          <w:bCs/>
        </w:rPr>
        <w:t>.</w:t>
      </w:r>
      <w:bookmarkEnd w:id="49"/>
    </w:p>
    <w:p w14:paraId="068FEC5F" w14:textId="77777777" w:rsidR="007F23C3" w:rsidRDefault="007F23C3" w:rsidP="00F56CB4">
      <w:pPr>
        <w:spacing w:after="160"/>
        <w:rPr>
          <w:b/>
          <w:bCs/>
        </w:rPr>
      </w:pPr>
    </w:p>
    <w:p w14:paraId="71C3AE3B" w14:textId="158886EC" w:rsidR="007C1482" w:rsidRDefault="00CB1C9B" w:rsidP="00CB1C9B">
      <w:pPr>
        <w:pStyle w:val="Heading3"/>
        <w:spacing w:after="160" w:line="360" w:lineRule="auto"/>
        <w:ind w:left="1225" w:hanging="505"/>
      </w:pPr>
      <w:bookmarkStart w:id="50" w:name="_Toc184414898"/>
      <w:r>
        <w:t>The public sector</w:t>
      </w:r>
      <w:r w:rsidR="007C1482">
        <w:t xml:space="preserve"> as </w:t>
      </w:r>
      <w:r w:rsidR="00424A6E">
        <w:t>inclusive employment leaders</w:t>
      </w:r>
      <w:bookmarkEnd w:id="50"/>
      <w:r w:rsidR="00424A6E">
        <w:t xml:space="preserve"> </w:t>
      </w:r>
    </w:p>
    <w:p w14:paraId="7E000EFC" w14:textId="0B165A5C" w:rsidR="00B76D9F" w:rsidRPr="00C80AA9" w:rsidRDefault="002D4551" w:rsidP="00F56CB4">
      <w:pPr>
        <w:spacing w:after="160"/>
      </w:pPr>
      <w:r w:rsidRPr="002D4551">
        <w:t>One significant action</w:t>
      </w:r>
      <w:r w:rsidR="00097AF5">
        <w:t xml:space="preserve"> </w:t>
      </w:r>
      <w:r w:rsidR="00DC2705">
        <w:t>Federal, State and Territory, and local</w:t>
      </w:r>
      <w:r w:rsidR="00097AF5">
        <w:t xml:space="preserve"> governments </w:t>
      </w:r>
      <w:r w:rsidR="00BF5F2C">
        <w:t>sh</w:t>
      </w:r>
      <w:r w:rsidR="00097AF5">
        <w:t>ould take</w:t>
      </w:r>
      <w:r w:rsidRPr="002D4551">
        <w:t xml:space="preserve"> </w:t>
      </w:r>
      <w:r w:rsidR="00BF5F2C">
        <w:t xml:space="preserve">is </w:t>
      </w:r>
      <w:r w:rsidRPr="002D4551">
        <w:t>to adopt target</w:t>
      </w:r>
      <w:r w:rsidR="00B72346">
        <w:t>s</w:t>
      </w:r>
      <w:r w:rsidRPr="002D4551">
        <w:t xml:space="preserve"> for employing people with disability in the public </w:t>
      </w:r>
      <w:r w:rsidR="00BF5F2C">
        <w:t>sector</w:t>
      </w:r>
      <w:r w:rsidR="00B72346">
        <w:t xml:space="preserve">, and fund </w:t>
      </w:r>
      <w:r w:rsidR="003C5100">
        <w:t>programs and supports to facilitate the meeting of these targets</w:t>
      </w:r>
      <w:r w:rsidRPr="002D4551">
        <w:t xml:space="preserve">. Ultimately, the target must be equivalent representation to that in the general population, however we believe that interim measurable targets will be required to build momentum toward this. For example, the Victorian Government set interim targets in its ‘Getting to work: </w:t>
      </w:r>
      <w:r w:rsidRPr="002D4551">
        <w:rPr>
          <w:rFonts w:ascii="Tahoma" w:hAnsi="Tahoma" w:cs="Tahoma"/>
        </w:rPr>
        <w:t>⁠</w:t>
      </w:r>
      <w:r w:rsidRPr="002D4551">
        <w:t xml:space="preserve">Victorian public sector disability employment action plan 2018 – 2025’ of six per cent by 2020 and 12 per cent by </w:t>
      </w:r>
      <w:r w:rsidRPr="002D4551">
        <w:lastRenderedPageBreak/>
        <w:t>2025</w:t>
      </w:r>
      <w:r w:rsidR="00F05DD1">
        <w:rPr>
          <w:rStyle w:val="FootnoteReference"/>
        </w:rPr>
        <w:footnoteReference w:id="35"/>
      </w:r>
      <w:r w:rsidR="0084427D">
        <w:t xml:space="preserve"> while the </w:t>
      </w:r>
      <w:r w:rsidR="00315C67">
        <w:t>DRC</w:t>
      </w:r>
      <w:r w:rsidR="00FD5B29">
        <w:t xml:space="preserve"> recommended that</w:t>
      </w:r>
      <w:r w:rsidR="0084427D">
        <w:t xml:space="preserve"> </w:t>
      </w:r>
      <w:r w:rsidR="00FA02C3" w:rsidRPr="00FA02C3">
        <w:t>7</w:t>
      </w:r>
      <w:r w:rsidR="00315C67">
        <w:t xml:space="preserve"> per cent</w:t>
      </w:r>
      <w:r w:rsidR="00FA02C3" w:rsidRPr="00FA02C3">
        <w:t xml:space="preserve"> of new public sector hires should be people with disability by 2025, with this increasing to 9</w:t>
      </w:r>
      <w:r w:rsidR="00315C67">
        <w:t xml:space="preserve"> per cent</w:t>
      </w:r>
      <w:r w:rsidR="00FA02C3" w:rsidRPr="00FA02C3">
        <w:t xml:space="preserve"> by 2030</w:t>
      </w:r>
      <w:r w:rsidR="002967C0">
        <w:t xml:space="preserve"> (with the provision of appropriate measures, programs</w:t>
      </w:r>
      <w:r w:rsidR="00315C67">
        <w:t>,</w:t>
      </w:r>
      <w:r w:rsidR="002967C0">
        <w:t xml:space="preserve"> and supports to achieve this)</w:t>
      </w:r>
      <w:r w:rsidR="00820E15">
        <w:rPr>
          <w:rStyle w:val="FootnoteReference"/>
        </w:rPr>
        <w:footnoteReference w:id="36"/>
      </w:r>
      <w:r w:rsidR="00FA02C3" w:rsidRPr="00FA02C3">
        <w:t>.</w:t>
      </w:r>
      <w:r w:rsidR="00B76D9F">
        <w:t xml:space="preserve"> </w:t>
      </w:r>
      <w:r w:rsidR="0085000C">
        <w:t>Further, g</w:t>
      </w:r>
      <w:r w:rsidR="00B76D9F">
        <w:t xml:space="preserve">overnment policies and initiatives </w:t>
      </w:r>
      <w:r w:rsidR="00804A6F">
        <w:t>are only useful to people with disability</w:t>
      </w:r>
      <w:r w:rsidR="0085000C">
        <w:t xml:space="preserve"> </w:t>
      </w:r>
      <w:r w:rsidR="00804A6F">
        <w:t xml:space="preserve">if they know they exist, </w:t>
      </w:r>
      <w:r w:rsidR="0085000C">
        <w:t>so clear communication and outreach will also be essential for the success of targets</w:t>
      </w:r>
      <w:r w:rsidR="009368ED">
        <w:t xml:space="preserve">. </w:t>
      </w:r>
    </w:p>
    <w:p w14:paraId="27AE013D" w14:textId="2CC3A86F" w:rsidR="008237FF" w:rsidRDefault="008237FF" w:rsidP="00F56CB4">
      <w:pPr>
        <w:spacing w:after="160"/>
      </w:pPr>
      <w:bookmarkStart w:id="51" w:name="_Hlk184409060"/>
      <w:r w:rsidRPr="0085000C">
        <w:rPr>
          <w:rStyle w:val="Heading4Char"/>
        </w:rPr>
        <w:t>Recommendation 1</w:t>
      </w:r>
      <w:r w:rsidR="00FB035E">
        <w:rPr>
          <w:rStyle w:val="Heading4Char"/>
        </w:rPr>
        <w:t>9</w:t>
      </w:r>
      <w:r w:rsidRPr="0085000C">
        <w:rPr>
          <w:rStyle w:val="Heading4Char"/>
        </w:rPr>
        <w:t>:</w:t>
      </w:r>
      <w:r>
        <w:rPr>
          <w:b/>
          <w:bCs/>
          <w:color w:val="7030A0"/>
        </w:rPr>
        <w:t xml:space="preserve"> </w:t>
      </w:r>
      <w:r w:rsidRPr="00125104">
        <w:rPr>
          <w:b/>
          <w:bCs/>
        </w:rPr>
        <w:t xml:space="preserve">The </w:t>
      </w:r>
      <w:r w:rsidR="0085000C">
        <w:rPr>
          <w:b/>
          <w:bCs/>
        </w:rPr>
        <w:t>Australian Government</w:t>
      </w:r>
      <w:r w:rsidRPr="00125104">
        <w:rPr>
          <w:b/>
          <w:bCs/>
        </w:rPr>
        <w:t xml:space="preserve"> </w:t>
      </w:r>
      <w:r>
        <w:rPr>
          <w:b/>
          <w:bCs/>
        </w:rPr>
        <w:t>should</w:t>
      </w:r>
      <w:r w:rsidR="002703C4">
        <w:rPr>
          <w:b/>
          <w:bCs/>
        </w:rPr>
        <w:t xml:space="preserve"> ensure </w:t>
      </w:r>
      <w:r w:rsidR="0085000C">
        <w:rPr>
          <w:b/>
          <w:bCs/>
        </w:rPr>
        <w:t xml:space="preserve">the </w:t>
      </w:r>
      <w:r w:rsidR="002703C4">
        <w:rPr>
          <w:b/>
          <w:bCs/>
        </w:rPr>
        <w:t>Foundational Supports</w:t>
      </w:r>
      <w:r w:rsidR="0085000C">
        <w:rPr>
          <w:b/>
          <w:bCs/>
        </w:rPr>
        <w:t xml:space="preserve"> </w:t>
      </w:r>
      <w:r w:rsidR="002703C4">
        <w:rPr>
          <w:b/>
          <w:bCs/>
        </w:rPr>
        <w:t xml:space="preserve">Strategy includes </w:t>
      </w:r>
      <w:r w:rsidR="00A722E4">
        <w:rPr>
          <w:b/>
          <w:bCs/>
        </w:rPr>
        <w:t xml:space="preserve">measures to </w:t>
      </w:r>
      <w:r w:rsidR="00917E63">
        <w:rPr>
          <w:b/>
          <w:bCs/>
        </w:rPr>
        <w:t>support people with disability</w:t>
      </w:r>
      <w:r w:rsidR="00A722E4">
        <w:rPr>
          <w:b/>
          <w:bCs/>
        </w:rPr>
        <w:t xml:space="preserve"> </w:t>
      </w:r>
      <w:r w:rsidR="00516F5B">
        <w:rPr>
          <w:b/>
          <w:bCs/>
        </w:rPr>
        <w:t xml:space="preserve">to enter </w:t>
      </w:r>
      <w:r w:rsidR="00CF0D39">
        <w:rPr>
          <w:b/>
          <w:bCs/>
        </w:rPr>
        <w:t>and sustain employment in</w:t>
      </w:r>
      <w:r w:rsidR="00516F5B">
        <w:rPr>
          <w:b/>
          <w:bCs/>
        </w:rPr>
        <w:t xml:space="preserve"> </w:t>
      </w:r>
      <w:r w:rsidR="00B75F04">
        <w:rPr>
          <w:b/>
          <w:bCs/>
        </w:rPr>
        <w:t xml:space="preserve">the </w:t>
      </w:r>
      <w:r w:rsidR="003E461B">
        <w:rPr>
          <w:b/>
          <w:bCs/>
        </w:rPr>
        <w:t xml:space="preserve">public </w:t>
      </w:r>
      <w:r w:rsidR="00237839">
        <w:rPr>
          <w:b/>
          <w:bCs/>
        </w:rPr>
        <w:t>sector</w:t>
      </w:r>
      <w:r>
        <w:rPr>
          <w:b/>
          <w:bCs/>
        </w:rPr>
        <w:t>.</w:t>
      </w:r>
    </w:p>
    <w:bookmarkEnd w:id="51"/>
    <w:p w14:paraId="6090A863" w14:textId="77777777" w:rsidR="00237839" w:rsidRDefault="00237839">
      <w:pPr>
        <w:spacing w:after="200" w:line="276" w:lineRule="auto"/>
        <w:rPr>
          <w:rFonts w:cstheme="minorHAnsi"/>
          <w:b/>
          <w:color w:val="522E91"/>
          <w:sz w:val="32"/>
          <w:szCs w:val="32"/>
        </w:rPr>
      </w:pPr>
      <w:r>
        <w:br w:type="page"/>
      </w:r>
    </w:p>
    <w:p w14:paraId="74841587" w14:textId="0D21B104" w:rsidR="007162AD" w:rsidRDefault="007162AD" w:rsidP="00F56CB4">
      <w:pPr>
        <w:pStyle w:val="Heading1"/>
        <w:spacing w:after="160" w:line="360" w:lineRule="auto"/>
      </w:pPr>
      <w:bookmarkStart w:id="52" w:name="_Toc184414899"/>
      <w:r>
        <w:lastRenderedPageBreak/>
        <w:t>Information and advice</w:t>
      </w:r>
      <w:bookmarkEnd w:id="52"/>
    </w:p>
    <w:p w14:paraId="75A96415" w14:textId="171B5CD1" w:rsidR="0079743E" w:rsidRDefault="0079743E" w:rsidP="00681FC8">
      <w:pPr>
        <w:spacing w:after="160"/>
        <w:rPr>
          <w:highlight w:val="yellow"/>
        </w:rPr>
      </w:pPr>
      <w:r>
        <w:t xml:space="preserve">It is essential </w:t>
      </w:r>
      <w:r w:rsidR="00AF33B0">
        <w:t>that</w:t>
      </w:r>
      <w:r>
        <w:t xml:space="preserve"> people with disability </w:t>
      </w:r>
      <w:r w:rsidR="00AF33B0">
        <w:t>can access</w:t>
      </w:r>
      <w:r>
        <w:t xml:space="preserve"> </w:t>
      </w:r>
      <w:r w:rsidR="00AF33B0">
        <w:t>accurate information</w:t>
      </w:r>
      <w:r w:rsidR="00D07C11">
        <w:t xml:space="preserve"> and</w:t>
      </w:r>
      <w:r>
        <w:t xml:space="preserve"> </w:t>
      </w:r>
      <w:r w:rsidR="00D07C11">
        <w:t xml:space="preserve">timely advice </w:t>
      </w:r>
      <w:r>
        <w:t xml:space="preserve">because, as the DRC found, a common theme in the evidence it received </w:t>
      </w:r>
      <w:r w:rsidR="009A1C74">
        <w:t>‘</w:t>
      </w:r>
      <w:r w:rsidRPr="005640A3">
        <w:t>was the link between lack of awareness and understanding of rights, coupled with ableist attitudes, and violence against, and abuse, neglect and exploitation of, people with disability</w:t>
      </w:r>
      <w:r>
        <w:t>.</w:t>
      </w:r>
      <w:r w:rsidR="009A1C74">
        <w:t>’</w:t>
      </w:r>
      <w:r>
        <w:rPr>
          <w:rStyle w:val="FootnoteReference"/>
        </w:rPr>
        <w:footnoteReference w:id="37"/>
      </w:r>
      <w:r w:rsidR="00AF33B0">
        <w:t xml:space="preserve"> </w:t>
      </w:r>
      <w:r>
        <w:t xml:space="preserve">As we told the DRC, </w:t>
      </w:r>
      <w:r w:rsidR="009A1C74">
        <w:t>‘</w:t>
      </w:r>
      <w:r w:rsidRPr="00B646D5">
        <w:t>a lack of understanding of the rights of people living with disability often go to the core of their mistreatment</w:t>
      </w:r>
      <w:r>
        <w:t>.</w:t>
      </w:r>
      <w:r w:rsidR="009A1C74">
        <w:t>’</w:t>
      </w:r>
      <w:r>
        <w:rPr>
          <w:rStyle w:val="FootnoteReference"/>
        </w:rPr>
        <w:footnoteReference w:id="38"/>
      </w:r>
      <w:r w:rsidR="00AF33B0">
        <w:t xml:space="preserve"> </w:t>
      </w:r>
      <w:r w:rsidR="005322B0">
        <w:t>As we state in the previous section, the Foundation</w:t>
      </w:r>
      <w:r w:rsidR="001B316A">
        <w:t>al</w:t>
      </w:r>
      <w:r w:rsidR="005322B0">
        <w:t xml:space="preserve"> Supports S</w:t>
      </w:r>
      <w:r w:rsidR="00E20F1A">
        <w:t xml:space="preserve">trategy should include a strong </w:t>
      </w:r>
      <w:r w:rsidR="00D24D34">
        <w:t>emphasis</w:t>
      </w:r>
      <w:r w:rsidR="00E20F1A">
        <w:t xml:space="preserve"> </w:t>
      </w:r>
      <w:r w:rsidR="00D24D34">
        <w:t>on building the ca</w:t>
      </w:r>
      <w:r w:rsidR="00563954">
        <w:t xml:space="preserve">pacity and understanding of all aspects of society to </w:t>
      </w:r>
      <w:r w:rsidR="009A3659">
        <w:t xml:space="preserve">fully </w:t>
      </w:r>
      <w:r w:rsidR="005269D0">
        <w:t>inclu</w:t>
      </w:r>
      <w:r w:rsidR="009A3659">
        <w:t>de</w:t>
      </w:r>
      <w:r w:rsidR="005269D0">
        <w:t xml:space="preserve"> Australians with disability</w:t>
      </w:r>
      <w:r w:rsidR="009A3659">
        <w:t xml:space="preserve"> and demonstrate respect for their human rights and dignity. This would significantly reduce the </w:t>
      </w:r>
      <w:r w:rsidR="006B02AB">
        <w:t xml:space="preserve">burden on people with disability to navigate systems, </w:t>
      </w:r>
      <w:r w:rsidR="001576E4">
        <w:t xml:space="preserve">find information, and seek advice. </w:t>
      </w:r>
      <w:r w:rsidR="00095123">
        <w:t xml:space="preserve">Likewise, reforming systems to remove </w:t>
      </w:r>
      <w:r w:rsidR="00F67B7A">
        <w:t xml:space="preserve">the excessive complexity </w:t>
      </w:r>
      <w:r w:rsidR="00810252">
        <w:t xml:space="preserve">and make navigation easier </w:t>
      </w:r>
      <w:r w:rsidR="00F67B7A">
        <w:t>would reduce the amount of information that needs to be commu</w:t>
      </w:r>
      <w:r w:rsidR="00810252">
        <w:t>nicated</w:t>
      </w:r>
      <w:r w:rsidR="00F67B7A">
        <w:t xml:space="preserve">. </w:t>
      </w:r>
      <w:r w:rsidR="001576E4">
        <w:t xml:space="preserve">Nevertheless, </w:t>
      </w:r>
      <w:r w:rsidR="000A418B">
        <w:t>access to information and advice</w:t>
      </w:r>
      <w:r w:rsidR="006B1C69">
        <w:t xml:space="preserve"> will be a key part of a successful Foundational Supports Strategy</w:t>
      </w:r>
      <w:r w:rsidR="000E1473">
        <w:t>.</w:t>
      </w:r>
    </w:p>
    <w:p w14:paraId="0AA9F3A5" w14:textId="09DB3580" w:rsidR="00237839" w:rsidRDefault="00237839" w:rsidP="00681FC8">
      <w:pPr>
        <w:spacing w:after="160"/>
      </w:pPr>
      <w:r w:rsidRPr="000E1473">
        <w:t>In this section, w</w:t>
      </w:r>
      <w:r w:rsidR="000E1473" w:rsidRPr="000E1473">
        <w:t>e</w:t>
      </w:r>
      <w:r w:rsidR="000E1473">
        <w:t xml:space="preserve"> provide feedback on </w:t>
      </w:r>
      <w:r w:rsidR="00555E80">
        <w:t xml:space="preserve">the current provision of information and advice and </w:t>
      </w:r>
      <w:r w:rsidR="00A9095D">
        <w:t xml:space="preserve">focus particularly on what needs to </w:t>
      </w:r>
      <w:r w:rsidR="00DF480F">
        <w:t xml:space="preserve">improve and </w:t>
      </w:r>
      <w:r w:rsidR="00A9095D">
        <w:t xml:space="preserve">change. </w:t>
      </w:r>
    </w:p>
    <w:p w14:paraId="61197717" w14:textId="77777777" w:rsidR="00FF2B2E" w:rsidRPr="00237839" w:rsidRDefault="00FF2B2E" w:rsidP="00681FC8">
      <w:pPr>
        <w:spacing w:after="160"/>
      </w:pPr>
    </w:p>
    <w:p w14:paraId="0F01CDA1" w14:textId="2E21891F" w:rsidR="007162AD" w:rsidRDefault="007162AD" w:rsidP="00681FC8">
      <w:pPr>
        <w:pStyle w:val="Heading2"/>
        <w:spacing w:after="160" w:line="360" w:lineRule="auto"/>
      </w:pPr>
      <w:bookmarkStart w:id="53" w:name="_Toc184414900"/>
      <w:r>
        <w:t>Existing supports</w:t>
      </w:r>
      <w:r w:rsidR="00235A9A">
        <w:t xml:space="preserve"> for information and advice</w:t>
      </w:r>
      <w:bookmarkEnd w:id="53"/>
    </w:p>
    <w:p w14:paraId="0779AD5E" w14:textId="098C563E" w:rsidR="00C80B51" w:rsidRDefault="00296390" w:rsidP="00681FC8">
      <w:pPr>
        <w:spacing w:after="160"/>
      </w:pPr>
      <w:r>
        <w:t xml:space="preserve">Both regional and CALD connectors </w:t>
      </w:r>
      <w:r w:rsidR="00393CB4">
        <w:t xml:space="preserve">acknowledged the </w:t>
      </w:r>
      <w:r w:rsidR="00DD2791">
        <w:t xml:space="preserve">importance </w:t>
      </w:r>
      <w:r w:rsidR="00286A2C">
        <w:t xml:space="preserve">of </w:t>
      </w:r>
      <w:r w:rsidR="007800B1">
        <w:t>information and advice</w:t>
      </w:r>
      <w:r w:rsidR="00425DA3">
        <w:t xml:space="preserve"> to support people with disability in their communities </w:t>
      </w:r>
      <w:r w:rsidR="000111AD">
        <w:t xml:space="preserve">to </w:t>
      </w:r>
      <w:r w:rsidR="00B50560">
        <w:t xml:space="preserve">access the things they need. However, </w:t>
      </w:r>
      <w:r w:rsidR="00786C3D">
        <w:t xml:space="preserve">connectors went straight to talking about how the provision of information and advice can be improved. It was clear that there is significant frustration </w:t>
      </w:r>
      <w:r w:rsidR="00241B87">
        <w:t xml:space="preserve">with </w:t>
      </w:r>
      <w:r w:rsidR="003E6703">
        <w:t>the inaccessibility of both</w:t>
      </w:r>
      <w:r w:rsidR="00E6677C">
        <w:t xml:space="preserve"> and a sense that small inexpensive </w:t>
      </w:r>
      <w:r w:rsidR="00085E92">
        <w:t>changes</w:t>
      </w:r>
      <w:r w:rsidR="00E6677C">
        <w:t xml:space="preserve"> would make </w:t>
      </w:r>
      <w:r w:rsidR="00670B8F">
        <w:t>a signific</w:t>
      </w:r>
      <w:r w:rsidR="009C0404">
        <w:t>ant difference</w:t>
      </w:r>
      <w:r w:rsidR="00085E92">
        <w:t xml:space="preserve"> if </w:t>
      </w:r>
      <w:r w:rsidR="002B094E">
        <w:t>the needs of people with disability were more readily understood and acted on</w:t>
      </w:r>
      <w:r w:rsidR="009C0404">
        <w:t xml:space="preserve">. </w:t>
      </w:r>
    </w:p>
    <w:p w14:paraId="71C18F42" w14:textId="2D07BC58" w:rsidR="00425FE2" w:rsidRDefault="00C80B51" w:rsidP="00681FC8">
      <w:pPr>
        <w:pStyle w:val="Heading2"/>
        <w:spacing w:after="160" w:line="360" w:lineRule="auto"/>
      </w:pPr>
      <w:bookmarkStart w:id="54" w:name="_Toc184414901"/>
      <w:r>
        <w:lastRenderedPageBreak/>
        <w:t xml:space="preserve">What </w:t>
      </w:r>
      <w:r w:rsidR="00730F90">
        <w:t xml:space="preserve">else </w:t>
      </w:r>
      <w:r>
        <w:t>is needed</w:t>
      </w:r>
      <w:bookmarkEnd w:id="54"/>
    </w:p>
    <w:p w14:paraId="64262EDA" w14:textId="3086C58E" w:rsidR="00636E53" w:rsidRDefault="00A3690A" w:rsidP="00681FC8">
      <w:pPr>
        <w:spacing w:after="160"/>
      </w:pPr>
      <w:r>
        <w:t xml:space="preserve">Our peer networks </w:t>
      </w:r>
      <w:r w:rsidR="00CC5AC9">
        <w:t xml:space="preserve">identified many gaps and areas for improvement </w:t>
      </w:r>
      <w:r w:rsidR="009159F4">
        <w:t>in how information is m</w:t>
      </w:r>
      <w:r w:rsidR="00653749">
        <w:t xml:space="preserve">ade available and </w:t>
      </w:r>
      <w:r w:rsidR="00CC5AC9">
        <w:t xml:space="preserve">within the existing advice </w:t>
      </w:r>
      <w:r w:rsidR="00B40F1E">
        <w:t xml:space="preserve">programs: </w:t>
      </w:r>
    </w:p>
    <w:p w14:paraId="33D2D9B0" w14:textId="234E9415" w:rsidR="00893E0B" w:rsidRPr="001D6A5F" w:rsidRDefault="00893E0B" w:rsidP="00A04B1A">
      <w:pPr>
        <w:tabs>
          <w:tab w:val="left" w:pos="4104"/>
        </w:tabs>
        <w:spacing w:after="160"/>
      </w:pPr>
      <w:r w:rsidRPr="001D6A5F">
        <w:rPr>
          <w:b/>
          <w:bCs/>
        </w:rPr>
        <w:t xml:space="preserve">Regional </w:t>
      </w:r>
      <w:r w:rsidR="00276B1F">
        <w:rPr>
          <w:b/>
          <w:bCs/>
        </w:rPr>
        <w:t>peer connectors</w:t>
      </w:r>
      <w:r w:rsidRPr="001D6A5F">
        <w:rPr>
          <w:b/>
          <w:bCs/>
        </w:rPr>
        <w:t>:</w:t>
      </w:r>
    </w:p>
    <w:p w14:paraId="1DFDA94B" w14:textId="00077E59" w:rsidR="00A04B1A" w:rsidRPr="001D6A5F" w:rsidRDefault="00015E05" w:rsidP="00B95BDD">
      <w:pPr>
        <w:numPr>
          <w:ilvl w:val="0"/>
          <w:numId w:val="10"/>
        </w:numPr>
        <w:tabs>
          <w:tab w:val="left" w:pos="4104"/>
        </w:tabs>
        <w:spacing w:after="160"/>
      </w:pPr>
      <w:r>
        <w:rPr>
          <w:b/>
          <w:bCs/>
        </w:rPr>
        <w:t xml:space="preserve">Hard to navigate: </w:t>
      </w:r>
      <w:r w:rsidR="00893E0B" w:rsidRPr="001D6A5F">
        <w:t>People in regional areas struggle to find information and do</w:t>
      </w:r>
      <w:r w:rsidR="00713DF5">
        <w:t xml:space="preserve"> </w:t>
      </w:r>
      <w:r w:rsidR="00893E0B" w:rsidRPr="001D6A5F">
        <w:t>n</w:t>
      </w:r>
      <w:r w:rsidR="00713DF5">
        <w:t>o</w:t>
      </w:r>
      <w:r w:rsidR="00893E0B" w:rsidRPr="001D6A5F">
        <w:t>t know what they can trust.</w:t>
      </w:r>
      <w:r w:rsidR="00A04B1A">
        <w:t xml:space="preserve"> </w:t>
      </w:r>
      <w:r w:rsidR="00A04B1A" w:rsidRPr="001D6A5F">
        <w:t>There is too much outdated information on old websites.</w:t>
      </w:r>
    </w:p>
    <w:p w14:paraId="52D62395" w14:textId="6468E9C8" w:rsidR="00C35D72" w:rsidRPr="001D6A5F" w:rsidRDefault="00015E05" w:rsidP="00B95BDD">
      <w:pPr>
        <w:numPr>
          <w:ilvl w:val="0"/>
          <w:numId w:val="10"/>
        </w:numPr>
        <w:tabs>
          <w:tab w:val="left" w:pos="4104"/>
        </w:tabs>
        <w:spacing w:after="160"/>
      </w:pPr>
      <w:r w:rsidRPr="00015E05">
        <w:rPr>
          <w:b/>
          <w:bCs/>
        </w:rPr>
        <w:t>Distrust:</w:t>
      </w:r>
      <w:r>
        <w:t xml:space="preserve"> </w:t>
      </w:r>
      <w:r w:rsidR="00626F01" w:rsidRPr="001D6A5F">
        <w:t>It is hard to determine what is real, accurate, and up to date.</w:t>
      </w:r>
      <w:r w:rsidR="00C35D72">
        <w:t xml:space="preserve"> </w:t>
      </w:r>
      <w:r w:rsidR="00C35D72" w:rsidRPr="001D6A5F">
        <w:t>There is a general distrust of government</w:t>
      </w:r>
      <w:r w:rsidR="00631C20">
        <w:t>s</w:t>
      </w:r>
      <w:r w:rsidR="00C35D72" w:rsidRPr="001D6A5F">
        <w:t xml:space="preserve"> and difficulty navigating their websites.</w:t>
      </w:r>
    </w:p>
    <w:p w14:paraId="131819F3" w14:textId="367F479B" w:rsidR="00413BE4" w:rsidRPr="001D6A5F" w:rsidRDefault="00015E05" w:rsidP="00B95BDD">
      <w:pPr>
        <w:numPr>
          <w:ilvl w:val="0"/>
          <w:numId w:val="10"/>
        </w:numPr>
        <w:tabs>
          <w:tab w:val="left" w:pos="4104"/>
        </w:tabs>
        <w:spacing w:after="160"/>
      </w:pPr>
      <w:r w:rsidRPr="00015E05">
        <w:rPr>
          <w:b/>
          <w:bCs/>
        </w:rPr>
        <w:t>Quantity over quality:</w:t>
      </w:r>
      <w:r>
        <w:t xml:space="preserve"> </w:t>
      </w:r>
      <w:r w:rsidR="00626F01" w:rsidRPr="001D6A5F">
        <w:t>There is an overwhelming amount of information.</w:t>
      </w:r>
      <w:r w:rsidR="00413BE4">
        <w:t xml:space="preserve"> </w:t>
      </w:r>
      <w:r w:rsidR="003817BE">
        <w:t>Being sent</w:t>
      </w:r>
      <w:r w:rsidR="00413BE4" w:rsidRPr="001D6A5F">
        <w:t xml:space="preserve"> the same information from multiple sources is common.</w:t>
      </w:r>
    </w:p>
    <w:p w14:paraId="54D53D2B" w14:textId="61DDD3C2" w:rsidR="00893E0B" w:rsidRPr="001D6A5F" w:rsidRDefault="00015E05" w:rsidP="00B95BDD">
      <w:pPr>
        <w:numPr>
          <w:ilvl w:val="0"/>
          <w:numId w:val="10"/>
        </w:numPr>
        <w:tabs>
          <w:tab w:val="left" w:pos="4104"/>
        </w:tabs>
        <w:spacing w:after="160"/>
      </w:pPr>
      <w:r>
        <w:rPr>
          <w:b/>
          <w:bCs/>
        </w:rPr>
        <w:t xml:space="preserve">Not local or relevant: </w:t>
      </w:r>
      <w:r w:rsidR="00893E0B" w:rsidRPr="001D6A5F">
        <w:t>Local information is often lacking.</w:t>
      </w:r>
    </w:p>
    <w:p w14:paraId="5B0CD5B5" w14:textId="36D0C3C6" w:rsidR="00893E0B" w:rsidRDefault="00C35D72" w:rsidP="00B95BDD">
      <w:pPr>
        <w:numPr>
          <w:ilvl w:val="0"/>
          <w:numId w:val="10"/>
        </w:numPr>
        <w:tabs>
          <w:tab w:val="left" w:pos="4104"/>
        </w:tabs>
        <w:spacing w:after="160"/>
      </w:pPr>
      <w:r>
        <w:rPr>
          <w:b/>
          <w:bCs/>
        </w:rPr>
        <w:t>Time</w:t>
      </w:r>
      <w:r w:rsidR="00C86066">
        <w:rPr>
          <w:b/>
          <w:bCs/>
        </w:rPr>
        <w:t xml:space="preserve"> </w:t>
      </w:r>
      <w:r>
        <w:rPr>
          <w:b/>
          <w:bCs/>
        </w:rPr>
        <w:t xml:space="preserve">consuming: </w:t>
      </w:r>
      <w:r w:rsidR="00893E0B" w:rsidRPr="001D6A5F">
        <w:t>It takes a lot of time to find what people need.</w:t>
      </w:r>
      <w:r w:rsidR="00626F01">
        <w:t xml:space="preserve"> </w:t>
      </w:r>
      <w:r w:rsidR="00893E0B" w:rsidRPr="001D6A5F">
        <w:t>People do</w:t>
      </w:r>
      <w:r w:rsidR="00B35381">
        <w:t xml:space="preserve"> </w:t>
      </w:r>
      <w:r w:rsidR="00893E0B" w:rsidRPr="001D6A5F">
        <w:t>n</w:t>
      </w:r>
      <w:r w:rsidR="00B35381">
        <w:t>o</w:t>
      </w:r>
      <w:r w:rsidR="00893E0B" w:rsidRPr="001D6A5F">
        <w:t>t have the time to go through all the information.</w:t>
      </w:r>
    </w:p>
    <w:p w14:paraId="479CAB51" w14:textId="5D5AFFFF" w:rsidR="00277998" w:rsidRPr="001D6A5F" w:rsidRDefault="00C35D72" w:rsidP="00B95BDD">
      <w:pPr>
        <w:numPr>
          <w:ilvl w:val="0"/>
          <w:numId w:val="10"/>
        </w:numPr>
        <w:tabs>
          <w:tab w:val="left" w:pos="4104"/>
        </w:tabs>
        <w:spacing w:after="160"/>
      </w:pPr>
      <w:r w:rsidRPr="00C35D72">
        <w:rPr>
          <w:b/>
          <w:bCs/>
        </w:rPr>
        <w:t xml:space="preserve">Person-to-person support </w:t>
      </w:r>
      <w:r w:rsidR="00D63284">
        <w:rPr>
          <w:b/>
          <w:bCs/>
        </w:rPr>
        <w:t xml:space="preserve">is </w:t>
      </w:r>
      <w:r w:rsidRPr="00C35D72">
        <w:rPr>
          <w:b/>
          <w:bCs/>
        </w:rPr>
        <w:t>needed:</w:t>
      </w:r>
      <w:r>
        <w:t xml:space="preserve"> </w:t>
      </w:r>
      <w:r w:rsidR="00277998" w:rsidRPr="001D6A5F">
        <w:t xml:space="preserve">In-person assistance is important for </w:t>
      </w:r>
      <w:r w:rsidR="00277998">
        <w:t>explaining</w:t>
      </w:r>
      <w:r w:rsidR="00277998" w:rsidRPr="001D6A5F">
        <w:t xml:space="preserve"> informatio</w:t>
      </w:r>
      <w:r w:rsidR="00277998">
        <w:t>n</w:t>
      </w:r>
      <w:r w:rsidR="00B47504">
        <w:t>.</w:t>
      </w:r>
    </w:p>
    <w:p w14:paraId="41841AF3" w14:textId="5EB252FE" w:rsidR="00277998" w:rsidRPr="001D6A5F" w:rsidRDefault="00C35D72" w:rsidP="00B95BDD">
      <w:pPr>
        <w:numPr>
          <w:ilvl w:val="0"/>
          <w:numId w:val="10"/>
        </w:numPr>
        <w:tabs>
          <w:tab w:val="left" w:pos="4104"/>
        </w:tabs>
        <w:spacing w:after="160"/>
      </w:pPr>
      <w:r w:rsidRPr="00C35D72">
        <w:rPr>
          <w:b/>
          <w:bCs/>
        </w:rPr>
        <w:t>Dedicated spaces:</w:t>
      </w:r>
      <w:r>
        <w:t xml:space="preserve"> </w:t>
      </w:r>
      <w:r w:rsidR="00277998" w:rsidRPr="001D6A5F">
        <w:t>Community houses are central to accessing information.</w:t>
      </w:r>
    </w:p>
    <w:p w14:paraId="4BD609A7" w14:textId="3C337717" w:rsidR="00893E0B" w:rsidRPr="001D6A5F" w:rsidRDefault="00C35D72" w:rsidP="00B95BDD">
      <w:pPr>
        <w:numPr>
          <w:ilvl w:val="0"/>
          <w:numId w:val="10"/>
        </w:numPr>
        <w:tabs>
          <w:tab w:val="left" w:pos="4104"/>
        </w:tabs>
        <w:spacing w:after="160"/>
      </w:pPr>
      <w:r>
        <w:rPr>
          <w:b/>
          <w:bCs/>
        </w:rPr>
        <w:t xml:space="preserve">No surprises: </w:t>
      </w:r>
      <w:r w:rsidR="00893E0B" w:rsidRPr="001D6A5F">
        <w:t xml:space="preserve">People prefer not to receive </w:t>
      </w:r>
      <w:r w:rsidR="00520D1A">
        <w:t xml:space="preserve">unexpected </w:t>
      </w:r>
      <w:r w:rsidR="00893E0B" w:rsidRPr="001D6A5F">
        <w:t>phone calls</w:t>
      </w:r>
      <w:r w:rsidR="00C1160E">
        <w:t xml:space="preserve"> that put </w:t>
      </w:r>
      <w:r w:rsidR="0039029A">
        <w:t>them</w:t>
      </w:r>
      <w:r w:rsidR="00C1160E">
        <w:t xml:space="preserve"> on the spot when they may not have the </w:t>
      </w:r>
      <w:proofErr w:type="gramStart"/>
      <w:r w:rsidR="00C1160E">
        <w:t>support</w:t>
      </w:r>
      <w:proofErr w:type="gramEnd"/>
      <w:r w:rsidR="00C1160E">
        <w:t xml:space="preserve"> they need</w:t>
      </w:r>
      <w:r w:rsidR="0039029A">
        <w:t xml:space="preserve"> available to handle the </w:t>
      </w:r>
      <w:r w:rsidR="00371F36">
        <w:t>conversation</w:t>
      </w:r>
      <w:r w:rsidR="00893E0B" w:rsidRPr="001D6A5F">
        <w:t>.</w:t>
      </w:r>
    </w:p>
    <w:p w14:paraId="0DF02151" w14:textId="0F514D20" w:rsidR="00AC003C" w:rsidRPr="001D6A5F" w:rsidRDefault="00AC003C" w:rsidP="00A04B1A">
      <w:pPr>
        <w:tabs>
          <w:tab w:val="left" w:pos="4104"/>
        </w:tabs>
        <w:spacing w:after="160"/>
      </w:pPr>
      <w:r w:rsidRPr="001D6A5F">
        <w:rPr>
          <w:b/>
          <w:bCs/>
        </w:rPr>
        <w:t xml:space="preserve">CALD </w:t>
      </w:r>
      <w:r w:rsidR="00C07161">
        <w:rPr>
          <w:b/>
          <w:bCs/>
        </w:rPr>
        <w:t>peer connectors</w:t>
      </w:r>
      <w:r w:rsidRPr="001D6A5F">
        <w:rPr>
          <w:b/>
          <w:bCs/>
        </w:rPr>
        <w:t>:</w:t>
      </w:r>
    </w:p>
    <w:p w14:paraId="6039E7E1" w14:textId="57F70AD7" w:rsidR="00AC003C" w:rsidRPr="001D6A5F" w:rsidRDefault="00F3182C" w:rsidP="00B95BDD">
      <w:pPr>
        <w:numPr>
          <w:ilvl w:val="0"/>
          <w:numId w:val="9"/>
        </w:numPr>
        <w:tabs>
          <w:tab w:val="left" w:pos="4104"/>
        </w:tabs>
        <w:spacing w:after="160"/>
      </w:pPr>
      <w:r w:rsidRPr="00CB6F16">
        <w:rPr>
          <w:b/>
          <w:bCs/>
        </w:rPr>
        <w:t xml:space="preserve">Language needs unmet: </w:t>
      </w:r>
      <w:r w:rsidR="00AC003C" w:rsidRPr="001D6A5F">
        <w:t xml:space="preserve">There is a need for more information in </w:t>
      </w:r>
      <w:r w:rsidR="00CB6F16">
        <w:t>language</w:t>
      </w:r>
      <w:r w:rsidR="003C6EA5">
        <w:t>s other than English</w:t>
      </w:r>
      <w:r w:rsidR="00AC003C" w:rsidRPr="001D6A5F">
        <w:t>.</w:t>
      </w:r>
      <w:r>
        <w:t xml:space="preserve"> </w:t>
      </w:r>
      <w:r w:rsidR="00AC003C" w:rsidRPr="001D6A5F">
        <w:t>Bilingual workers in services are essential.</w:t>
      </w:r>
      <w:r w:rsidR="00CB6F16">
        <w:t xml:space="preserve"> </w:t>
      </w:r>
      <w:r w:rsidR="00AC003C" w:rsidRPr="001D6A5F">
        <w:t>Many people are educated but face language barriers</w:t>
      </w:r>
      <w:r w:rsidR="00A14366">
        <w:t>; they are not stupid, as they are sometimes treated</w:t>
      </w:r>
      <w:r w:rsidR="00AC003C" w:rsidRPr="001D6A5F">
        <w:t>.</w:t>
      </w:r>
    </w:p>
    <w:p w14:paraId="4639EEAE" w14:textId="459C306C" w:rsidR="008368B3" w:rsidRPr="001D6A5F" w:rsidRDefault="00CB6F16" w:rsidP="00B95BDD">
      <w:pPr>
        <w:numPr>
          <w:ilvl w:val="0"/>
          <w:numId w:val="9"/>
        </w:numPr>
        <w:tabs>
          <w:tab w:val="left" w:pos="4104"/>
        </w:tabs>
        <w:spacing w:after="160"/>
      </w:pPr>
      <w:r>
        <w:rPr>
          <w:b/>
          <w:bCs/>
        </w:rPr>
        <w:t xml:space="preserve">Barriers: </w:t>
      </w:r>
      <w:r w:rsidR="00AC003C" w:rsidRPr="001D6A5F">
        <w:t xml:space="preserve">Racism is sometimes </w:t>
      </w:r>
      <w:r w:rsidRPr="001D6A5F">
        <w:t>experienced,</w:t>
      </w:r>
      <w:r w:rsidR="004C4135">
        <w:t xml:space="preserve"> and this is a barrier to seeking information or advice</w:t>
      </w:r>
      <w:r w:rsidR="00AC003C" w:rsidRPr="001D6A5F">
        <w:t>.</w:t>
      </w:r>
      <w:r w:rsidR="008368B3">
        <w:t xml:space="preserve"> </w:t>
      </w:r>
      <w:r w:rsidR="008368B3" w:rsidRPr="001D6A5F">
        <w:t xml:space="preserve">People are not in the habit of </w:t>
      </w:r>
      <w:r w:rsidR="008368B3">
        <w:t xml:space="preserve">needing and </w:t>
      </w:r>
      <w:r w:rsidR="008368B3" w:rsidRPr="001D6A5F">
        <w:t>using ID for everything.</w:t>
      </w:r>
    </w:p>
    <w:p w14:paraId="0DF92462" w14:textId="00859BF4" w:rsidR="00AC003C" w:rsidRDefault="00AD71FD" w:rsidP="00B95BDD">
      <w:pPr>
        <w:numPr>
          <w:ilvl w:val="0"/>
          <w:numId w:val="9"/>
        </w:numPr>
        <w:tabs>
          <w:tab w:val="left" w:pos="4104"/>
        </w:tabs>
        <w:spacing w:after="160"/>
      </w:pPr>
      <w:r>
        <w:rPr>
          <w:b/>
          <w:bCs/>
        </w:rPr>
        <w:lastRenderedPageBreak/>
        <w:t xml:space="preserve">Different </w:t>
      </w:r>
      <w:r w:rsidR="000A102F">
        <w:rPr>
          <w:b/>
          <w:bCs/>
        </w:rPr>
        <w:t>expectations</w:t>
      </w:r>
      <w:r>
        <w:rPr>
          <w:b/>
          <w:bCs/>
        </w:rPr>
        <w:t xml:space="preserve">: </w:t>
      </w:r>
      <w:r w:rsidR="00AC003C" w:rsidRPr="001D6A5F">
        <w:t>Prevention is a new concept for many, as they come from countries where they only go to the doctor when sick.</w:t>
      </w:r>
    </w:p>
    <w:p w14:paraId="7AFD933E" w14:textId="7335FB10" w:rsidR="000A102F" w:rsidRPr="001D6A5F" w:rsidRDefault="000A102F" w:rsidP="00B95BDD">
      <w:pPr>
        <w:numPr>
          <w:ilvl w:val="0"/>
          <w:numId w:val="9"/>
        </w:numPr>
        <w:tabs>
          <w:tab w:val="left" w:pos="4104"/>
        </w:tabs>
        <w:spacing w:after="160"/>
      </w:pPr>
      <w:r>
        <w:rPr>
          <w:b/>
          <w:bCs/>
        </w:rPr>
        <w:t>Low expectations:</w:t>
      </w:r>
      <w:r>
        <w:t xml:space="preserve"> </w:t>
      </w:r>
      <w:r w:rsidRPr="001D6A5F">
        <w:t>People often have low expectations and feel they do</w:t>
      </w:r>
      <w:r>
        <w:t xml:space="preserve"> </w:t>
      </w:r>
      <w:r w:rsidRPr="001D6A5F">
        <w:t>n</w:t>
      </w:r>
      <w:r>
        <w:t>o</w:t>
      </w:r>
      <w:r w:rsidRPr="001D6A5F">
        <w:t>t need more</w:t>
      </w:r>
      <w:r>
        <w:t xml:space="preserve"> so do not seek information or advice</w:t>
      </w:r>
      <w:r w:rsidRPr="001D6A5F">
        <w:t>.</w:t>
      </w:r>
    </w:p>
    <w:p w14:paraId="29F58C0F" w14:textId="6CE03DCC" w:rsidR="00AC003C" w:rsidRPr="001D6A5F" w:rsidRDefault="00B95BDD" w:rsidP="00B95BDD">
      <w:pPr>
        <w:numPr>
          <w:ilvl w:val="0"/>
          <w:numId w:val="9"/>
        </w:numPr>
        <w:tabs>
          <w:tab w:val="left" w:pos="4104"/>
        </w:tabs>
        <w:spacing w:after="160"/>
      </w:pPr>
      <w:r>
        <w:rPr>
          <w:b/>
          <w:bCs/>
        </w:rPr>
        <w:t xml:space="preserve">Low awareness: </w:t>
      </w:r>
      <w:r w:rsidR="00AC003C" w:rsidRPr="001D6A5F">
        <w:t>People expect doctors to inform them if there are any issues at birth</w:t>
      </w:r>
      <w:r w:rsidR="00AC003C">
        <w:t>, which causes delays in seeking autism diagnoses</w:t>
      </w:r>
      <w:r w:rsidR="004F6B56">
        <w:t xml:space="preserve"> later</w:t>
      </w:r>
      <w:r w:rsidR="00AC003C" w:rsidRPr="001D6A5F">
        <w:t>.</w:t>
      </w:r>
      <w:r w:rsidR="00AC003C" w:rsidRPr="0091616A">
        <w:t xml:space="preserve"> </w:t>
      </w:r>
      <w:r w:rsidR="00AC003C" w:rsidRPr="001D6A5F">
        <w:t>Many people are unaware of autism and don't know what to do or where to go.</w:t>
      </w:r>
    </w:p>
    <w:p w14:paraId="310F2159" w14:textId="1F42E631" w:rsidR="00AC003C" w:rsidRPr="001D6A5F" w:rsidRDefault="00B95BDD" w:rsidP="00B95BDD">
      <w:pPr>
        <w:numPr>
          <w:ilvl w:val="0"/>
          <w:numId w:val="9"/>
        </w:numPr>
        <w:tabs>
          <w:tab w:val="left" w:pos="4104"/>
        </w:tabs>
        <w:spacing w:after="160"/>
      </w:pPr>
      <w:r w:rsidRPr="00B95BDD">
        <w:rPr>
          <w:b/>
          <w:bCs/>
        </w:rPr>
        <w:t xml:space="preserve">Stigma: </w:t>
      </w:r>
      <w:r w:rsidR="00AC003C" w:rsidRPr="001D6A5F">
        <w:t>People with disabilities are often hidden away within the community.</w:t>
      </w:r>
      <w:r>
        <w:t xml:space="preserve"> </w:t>
      </w:r>
      <w:r w:rsidR="00AC003C" w:rsidRPr="001D6A5F">
        <w:t>It is hard to get people to attend training due to embarrassment and fear of community judgment.</w:t>
      </w:r>
    </w:p>
    <w:p w14:paraId="4CFE8549" w14:textId="165A98BA" w:rsidR="00A3690A" w:rsidRDefault="00A71F2B" w:rsidP="00F56CB4">
      <w:pPr>
        <w:spacing w:after="160"/>
      </w:pPr>
      <w:r>
        <w:t xml:space="preserve">From this feedback, it is clear existing </w:t>
      </w:r>
      <w:r w:rsidR="00C77BAB">
        <w:t xml:space="preserve">government initiatives, such as the Disability Gateway, </w:t>
      </w:r>
      <w:r w:rsidR="002B7287">
        <w:t>are</w:t>
      </w:r>
      <w:r w:rsidR="00C77BAB">
        <w:t xml:space="preserve"> not functioning as </w:t>
      </w:r>
      <w:r w:rsidR="002B7287">
        <w:t>they</w:t>
      </w:r>
      <w:r w:rsidR="00C77BAB">
        <w:t xml:space="preserve"> should.</w:t>
      </w:r>
    </w:p>
    <w:p w14:paraId="1A38F824" w14:textId="77777777" w:rsidR="00817CB2" w:rsidRPr="005E01D0" w:rsidRDefault="00817CB2" w:rsidP="00F56CB4">
      <w:pPr>
        <w:spacing w:after="160"/>
      </w:pPr>
    </w:p>
    <w:p w14:paraId="552970B8" w14:textId="49BB315D" w:rsidR="007162AD" w:rsidRDefault="007162AD" w:rsidP="00F56CB4">
      <w:pPr>
        <w:pStyle w:val="Heading3"/>
        <w:spacing w:after="160" w:line="360" w:lineRule="auto"/>
      </w:pPr>
      <w:bookmarkStart w:id="55" w:name="_Toc184414902"/>
      <w:r>
        <w:t>Disability Gateway</w:t>
      </w:r>
      <w:r w:rsidR="00371F36">
        <w:t xml:space="preserve"> is largely unknown</w:t>
      </w:r>
      <w:bookmarkEnd w:id="55"/>
    </w:p>
    <w:p w14:paraId="344E404B" w14:textId="34A88B15" w:rsidR="00B47E59" w:rsidRDefault="003C30AE" w:rsidP="00F56CB4">
      <w:pPr>
        <w:spacing w:after="160"/>
      </w:pPr>
      <w:r>
        <w:t xml:space="preserve">Throughout our </w:t>
      </w:r>
      <w:r w:rsidR="00D5721D">
        <w:t xml:space="preserve">consultations with regional and CALD peer </w:t>
      </w:r>
      <w:r w:rsidR="00A61D15">
        <w:t>connectors</w:t>
      </w:r>
      <w:r w:rsidR="00D5721D">
        <w:t xml:space="preserve">, </w:t>
      </w:r>
      <w:r w:rsidR="00752C2F">
        <w:t>participants did not mention the Disability Gateway or</w:t>
      </w:r>
      <w:r w:rsidR="005A235C">
        <w:t xml:space="preserve"> the National Information Program</w:t>
      </w:r>
      <w:r w:rsidR="00D963D5">
        <w:t xml:space="preserve"> (NIP)</w:t>
      </w:r>
      <w:r w:rsidR="005A235C">
        <w:t xml:space="preserve"> or</w:t>
      </w:r>
      <w:r w:rsidR="00752C2F">
        <w:t xml:space="preserve"> identify </w:t>
      </w:r>
      <w:r w:rsidR="005A235C">
        <w:t>them</w:t>
      </w:r>
      <w:r w:rsidR="00752C2F">
        <w:t xml:space="preserve"> as valuable resource</w:t>
      </w:r>
      <w:r w:rsidR="005A235C">
        <w:t>s</w:t>
      </w:r>
      <w:r w:rsidR="00752C2F">
        <w:t xml:space="preserve">. They did, however, assert the </w:t>
      </w:r>
      <w:r w:rsidR="00B92513">
        <w:t>importance of</w:t>
      </w:r>
      <w:r w:rsidR="00752C2F">
        <w:t xml:space="preserve"> </w:t>
      </w:r>
      <w:r w:rsidR="00124B6A">
        <w:t>in-person communication</w:t>
      </w:r>
      <w:r w:rsidR="00CC1A1F">
        <w:t>,</w:t>
      </w:r>
      <w:r w:rsidR="00B92513">
        <w:t xml:space="preserve"> at central hubs or at peer network meetings, </w:t>
      </w:r>
      <w:r w:rsidR="00280926">
        <w:t xml:space="preserve">and </w:t>
      </w:r>
      <w:r w:rsidR="005B1563">
        <w:t xml:space="preserve">emphasised </w:t>
      </w:r>
      <w:r w:rsidR="00280926">
        <w:t xml:space="preserve">the barriers </w:t>
      </w:r>
      <w:r w:rsidR="00FD39A3">
        <w:t xml:space="preserve">caused by computer illiteracy </w:t>
      </w:r>
      <w:r w:rsidR="009B0B5B">
        <w:t xml:space="preserve">or inaccessibility. </w:t>
      </w:r>
      <w:r w:rsidR="00AD2445">
        <w:t xml:space="preserve">The NDIS </w:t>
      </w:r>
      <w:r w:rsidR="005A235C">
        <w:t>R</w:t>
      </w:r>
      <w:r w:rsidR="00AD2445">
        <w:t>eview</w:t>
      </w:r>
      <w:r w:rsidR="00D644DB">
        <w:t xml:space="preserve"> found the NIP </w:t>
      </w:r>
      <w:r w:rsidR="00DA537D">
        <w:t>‘</w:t>
      </w:r>
      <w:r w:rsidR="00D644DB">
        <w:t>paid limited attention to improving the availability and delivery of face-to</w:t>
      </w:r>
      <w:r w:rsidR="00A6398B">
        <w:t>-</w:t>
      </w:r>
      <w:r w:rsidR="00D644DB">
        <w:t>face information and advice at a state and local level, with a disproportionate focus on nationally consistent information delivered online</w:t>
      </w:r>
      <w:r w:rsidR="00DA537D">
        <w:t>’</w:t>
      </w:r>
      <w:r w:rsidR="00D644DB">
        <w:rPr>
          <w:rStyle w:val="FootnoteReference"/>
        </w:rPr>
        <w:footnoteReference w:id="39"/>
      </w:r>
      <w:r w:rsidR="00D644DB">
        <w:t>.</w:t>
      </w:r>
      <w:r w:rsidR="005127F9">
        <w:t xml:space="preserve"> We </w:t>
      </w:r>
      <w:r w:rsidR="0023415B">
        <w:t>are very concerned about the Consultation Pa</w:t>
      </w:r>
      <w:r w:rsidR="00C532A3">
        <w:t>per’s reference to relying on</w:t>
      </w:r>
      <w:r w:rsidR="005127F9">
        <w:t xml:space="preserve"> </w:t>
      </w:r>
      <w:r w:rsidR="00843FD9">
        <w:t>‘</w:t>
      </w:r>
      <w:r w:rsidR="005127F9" w:rsidRPr="005127F9">
        <w:t>a single website, digital app, online chat and/or phone service</w:t>
      </w:r>
      <w:r w:rsidR="007B7C42">
        <w:t>’</w:t>
      </w:r>
      <w:r w:rsidR="00124553">
        <w:t>.</w:t>
      </w:r>
      <w:r w:rsidR="00032A83">
        <w:rPr>
          <w:rStyle w:val="FootnoteReference"/>
        </w:rPr>
        <w:footnoteReference w:id="40"/>
      </w:r>
      <w:r w:rsidR="00BB25D8">
        <w:t xml:space="preserve"> </w:t>
      </w:r>
      <w:r w:rsidR="00FF0455">
        <w:t>In</w:t>
      </w:r>
      <w:r w:rsidR="002F04D5">
        <w:t xml:space="preserve"> 2022, according to the </w:t>
      </w:r>
      <w:r w:rsidR="0035303A">
        <w:t>Australian Disability Inclusion Index</w:t>
      </w:r>
      <w:r w:rsidR="00267E3B">
        <w:t xml:space="preserve">, people with disability </w:t>
      </w:r>
      <w:r w:rsidR="008C521A">
        <w:t>ha</w:t>
      </w:r>
      <w:r w:rsidR="002C3513">
        <w:t>d</w:t>
      </w:r>
      <w:r w:rsidR="008C521A">
        <w:t xml:space="preserve"> </w:t>
      </w:r>
      <w:r w:rsidR="00A30237">
        <w:t>an inclusion score of 61.</w:t>
      </w:r>
      <w:r w:rsidR="00D3406A">
        <w:t>4</w:t>
      </w:r>
      <w:r w:rsidR="00A30237">
        <w:t xml:space="preserve"> (which is 11.</w:t>
      </w:r>
      <w:r w:rsidR="00D3406A">
        <w:t>7 below the national average)</w:t>
      </w:r>
      <w:r w:rsidR="00573786">
        <w:t>.</w:t>
      </w:r>
      <w:r w:rsidR="00A86AC9">
        <w:rPr>
          <w:rStyle w:val="FootnoteReference"/>
        </w:rPr>
        <w:footnoteReference w:id="41"/>
      </w:r>
      <w:r w:rsidR="00573786">
        <w:t xml:space="preserve"> </w:t>
      </w:r>
    </w:p>
    <w:p w14:paraId="56DAE5BE" w14:textId="181153D8" w:rsidR="0059014D" w:rsidRDefault="00B47E59" w:rsidP="00F56CB4">
      <w:pPr>
        <w:spacing w:after="160"/>
      </w:pPr>
      <w:r>
        <w:lastRenderedPageBreak/>
        <w:t>W</w:t>
      </w:r>
      <w:r w:rsidR="00DA03AC">
        <w:t xml:space="preserve">hile </w:t>
      </w:r>
      <w:r w:rsidR="00710D3E">
        <w:t xml:space="preserve">increasing the consistency and accessibility of </w:t>
      </w:r>
      <w:r w:rsidR="005129CE">
        <w:t>online resources</w:t>
      </w:r>
      <w:r w:rsidR="00AC7753">
        <w:t xml:space="preserve"> is an important step, it </w:t>
      </w:r>
      <w:r w:rsidR="0090689F">
        <w:t>is not a panacea</w:t>
      </w:r>
      <w:r w:rsidR="00C04225">
        <w:t xml:space="preserve"> and must be augmented with </w:t>
      </w:r>
      <w:r w:rsidR="0009533E">
        <w:t xml:space="preserve">greater availability of </w:t>
      </w:r>
      <w:r w:rsidR="00F35EF8">
        <w:t xml:space="preserve">face-to-face advice services, as well as </w:t>
      </w:r>
      <w:r w:rsidR="006A5AFE">
        <w:t xml:space="preserve">expanded digital </w:t>
      </w:r>
      <w:r w:rsidR="005A2DF3">
        <w:t>capacity building</w:t>
      </w:r>
      <w:r w:rsidR="00D727C3">
        <w:t xml:space="preserve"> programs for people with disability.</w:t>
      </w:r>
      <w:r w:rsidR="00C5752A">
        <w:t xml:space="preserve"> </w:t>
      </w:r>
      <w:r>
        <w:t>Many people do not have access to reliable internet services</w:t>
      </w:r>
      <w:r w:rsidR="000967C7">
        <w:t>, particularly in regional areas,</w:t>
      </w:r>
      <w:r>
        <w:t xml:space="preserve"> </w:t>
      </w:r>
      <w:r w:rsidR="000B7D9E">
        <w:t xml:space="preserve">while </w:t>
      </w:r>
      <w:r w:rsidR="000967C7">
        <w:t>those</w:t>
      </w:r>
      <w:r w:rsidR="00055331">
        <w:t xml:space="preserve"> </w:t>
      </w:r>
      <w:r w:rsidR="000B7D9E">
        <w:t xml:space="preserve">surviving on income support payments cannot afford </w:t>
      </w:r>
      <w:r w:rsidR="003D1BE4">
        <w:t>the data plans required to access online information. I</w:t>
      </w:r>
      <w:r w:rsidR="00FB035E">
        <w:t>t should also be recognised that i</w:t>
      </w:r>
      <w:r w:rsidR="004D2CB0">
        <w:t>nformation, advice</w:t>
      </w:r>
      <w:r w:rsidR="00B51D8B">
        <w:t>,</w:t>
      </w:r>
      <w:r w:rsidR="004D2CB0">
        <w:t xml:space="preserve"> and resource services are often a band-aid solution covering </w:t>
      </w:r>
      <w:r w:rsidR="00F13A97">
        <w:t xml:space="preserve">the primary </w:t>
      </w:r>
      <w:r w:rsidR="00FB035E">
        <w:t>problem</w:t>
      </w:r>
      <w:r w:rsidR="00F13A97">
        <w:t xml:space="preserve">: unnecessarily complex </w:t>
      </w:r>
      <w:r w:rsidR="008A64D9">
        <w:t>bureauc</w:t>
      </w:r>
      <w:r w:rsidR="00144CE6">
        <w:t xml:space="preserve">ratic systems. </w:t>
      </w:r>
    </w:p>
    <w:p w14:paraId="37B4D714" w14:textId="6EBA4C60" w:rsidR="003E461B" w:rsidRDefault="003E461B" w:rsidP="00F56CB4">
      <w:pPr>
        <w:spacing w:after="160"/>
        <w:rPr>
          <w:b/>
        </w:rPr>
      </w:pPr>
      <w:bookmarkStart w:id="56" w:name="_Hlk184409074"/>
      <w:r w:rsidRPr="00FE5BA8">
        <w:rPr>
          <w:rStyle w:val="Heading4Char"/>
        </w:rPr>
        <w:t xml:space="preserve">Recommendation </w:t>
      </w:r>
      <w:r w:rsidR="00FB035E">
        <w:rPr>
          <w:rStyle w:val="Heading4Char"/>
        </w:rPr>
        <w:t>20</w:t>
      </w:r>
      <w:r w:rsidRPr="00FE5BA8">
        <w:rPr>
          <w:rStyle w:val="Heading4Char"/>
        </w:rPr>
        <w:t>:</w:t>
      </w:r>
      <w:r>
        <w:rPr>
          <w:b/>
          <w:bCs/>
          <w:color w:val="7030A0"/>
        </w:rPr>
        <w:t xml:space="preserve"> </w:t>
      </w:r>
      <w:r w:rsidRPr="00125104">
        <w:rPr>
          <w:b/>
          <w:bCs/>
        </w:rPr>
        <w:t xml:space="preserve">The Department of Social Services (DSS) </w:t>
      </w:r>
      <w:r>
        <w:rPr>
          <w:b/>
          <w:bCs/>
        </w:rPr>
        <w:t>should ensure</w:t>
      </w:r>
      <w:r w:rsidR="002C7129">
        <w:rPr>
          <w:b/>
          <w:bCs/>
        </w:rPr>
        <w:t xml:space="preserve"> any </w:t>
      </w:r>
      <w:r w:rsidR="0033589C">
        <w:rPr>
          <w:b/>
          <w:bCs/>
        </w:rPr>
        <w:t xml:space="preserve">central digital </w:t>
      </w:r>
      <w:r w:rsidR="0057579C">
        <w:rPr>
          <w:b/>
          <w:bCs/>
        </w:rPr>
        <w:t>information</w:t>
      </w:r>
      <w:r w:rsidR="0033589C">
        <w:rPr>
          <w:b/>
          <w:bCs/>
        </w:rPr>
        <w:t xml:space="preserve"> </w:t>
      </w:r>
      <w:r w:rsidR="0057579C">
        <w:rPr>
          <w:b/>
          <w:bCs/>
        </w:rPr>
        <w:t>hub is genuinely co-designed by a diversity of</w:t>
      </w:r>
      <w:r w:rsidR="0025428E">
        <w:rPr>
          <w:b/>
          <w:bCs/>
        </w:rPr>
        <w:t xml:space="preserve"> representatives from the disability community to ensure </w:t>
      </w:r>
      <w:r w:rsidR="002115CD">
        <w:rPr>
          <w:b/>
          <w:bCs/>
        </w:rPr>
        <w:t>it is fully accessible and inclusive.</w:t>
      </w:r>
      <w:r w:rsidR="00352122">
        <w:rPr>
          <w:b/>
          <w:bCs/>
        </w:rPr>
        <w:t xml:space="preserve"> </w:t>
      </w:r>
      <w:r w:rsidR="002F562C">
        <w:rPr>
          <w:b/>
          <w:bCs/>
        </w:rPr>
        <w:t xml:space="preserve">Resources should be allocated to building awareness about </w:t>
      </w:r>
      <w:r w:rsidR="00094041">
        <w:rPr>
          <w:b/>
          <w:bCs/>
        </w:rPr>
        <w:t>where people can access clear information.</w:t>
      </w:r>
    </w:p>
    <w:p w14:paraId="54F3C2BA" w14:textId="46719A44" w:rsidR="002115CD" w:rsidRDefault="002115CD" w:rsidP="00F56CB4">
      <w:pPr>
        <w:spacing w:after="160"/>
        <w:rPr>
          <w:b/>
          <w:bCs/>
        </w:rPr>
      </w:pPr>
      <w:r w:rsidRPr="00FE5BA8">
        <w:rPr>
          <w:rStyle w:val="Heading4Char"/>
        </w:rPr>
        <w:t xml:space="preserve">Recommendation </w:t>
      </w:r>
      <w:r w:rsidR="00FB035E">
        <w:rPr>
          <w:rStyle w:val="Heading4Char"/>
        </w:rPr>
        <w:t>21</w:t>
      </w:r>
      <w:r w:rsidRPr="00FE5BA8">
        <w:rPr>
          <w:rStyle w:val="Heading4Char"/>
        </w:rPr>
        <w:t>:</w:t>
      </w:r>
      <w:r>
        <w:rPr>
          <w:b/>
          <w:bCs/>
          <w:color w:val="7030A0"/>
        </w:rPr>
        <w:t xml:space="preserve"> </w:t>
      </w:r>
      <w:r w:rsidRPr="00125104">
        <w:rPr>
          <w:b/>
          <w:bCs/>
        </w:rPr>
        <w:t xml:space="preserve">The Department of Social Services (DSS) </w:t>
      </w:r>
      <w:r>
        <w:rPr>
          <w:b/>
          <w:bCs/>
        </w:rPr>
        <w:t>should ensure</w:t>
      </w:r>
      <w:r w:rsidR="00996A30">
        <w:rPr>
          <w:b/>
          <w:bCs/>
        </w:rPr>
        <w:t xml:space="preserve"> </w:t>
      </w:r>
      <w:r w:rsidR="00617B4D">
        <w:rPr>
          <w:b/>
          <w:bCs/>
        </w:rPr>
        <w:t>appropriately funded</w:t>
      </w:r>
      <w:r w:rsidR="003F11FE">
        <w:rPr>
          <w:b/>
          <w:bCs/>
        </w:rPr>
        <w:t>, fully inclusive</w:t>
      </w:r>
      <w:r w:rsidR="009D50BE">
        <w:rPr>
          <w:b/>
          <w:bCs/>
        </w:rPr>
        <w:t>,</w:t>
      </w:r>
      <w:r w:rsidR="003F11FE">
        <w:rPr>
          <w:b/>
          <w:bCs/>
        </w:rPr>
        <w:t xml:space="preserve"> and accessible in-person alternatives to</w:t>
      </w:r>
      <w:r w:rsidR="00617B4D">
        <w:rPr>
          <w:b/>
          <w:bCs/>
        </w:rPr>
        <w:t xml:space="preserve"> </w:t>
      </w:r>
      <w:r w:rsidR="005E10BA">
        <w:rPr>
          <w:b/>
          <w:bCs/>
        </w:rPr>
        <w:t xml:space="preserve">digital information hubs </w:t>
      </w:r>
      <w:r w:rsidR="009D50BE">
        <w:rPr>
          <w:b/>
          <w:bCs/>
        </w:rPr>
        <w:t xml:space="preserve">are available </w:t>
      </w:r>
      <w:r w:rsidR="00025251">
        <w:rPr>
          <w:b/>
          <w:bCs/>
        </w:rPr>
        <w:t xml:space="preserve">to </w:t>
      </w:r>
      <w:r w:rsidR="00EF504F">
        <w:rPr>
          <w:b/>
          <w:bCs/>
        </w:rPr>
        <w:t>ensure</w:t>
      </w:r>
      <w:r w:rsidR="005E10BA">
        <w:rPr>
          <w:b/>
          <w:bCs/>
        </w:rPr>
        <w:t xml:space="preserve"> </w:t>
      </w:r>
      <w:r w:rsidR="00A81E95">
        <w:rPr>
          <w:b/>
          <w:bCs/>
        </w:rPr>
        <w:t>people with digital literacy support needs</w:t>
      </w:r>
      <w:r w:rsidR="00D80C02">
        <w:rPr>
          <w:b/>
          <w:bCs/>
        </w:rPr>
        <w:t xml:space="preserve"> or no internet access</w:t>
      </w:r>
      <w:r w:rsidR="00A81E95">
        <w:rPr>
          <w:b/>
          <w:bCs/>
        </w:rPr>
        <w:t xml:space="preserve"> are not denied </w:t>
      </w:r>
      <w:r w:rsidR="009F223E">
        <w:rPr>
          <w:b/>
          <w:bCs/>
        </w:rPr>
        <w:t xml:space="preserve">timely </w:t>
      </w:r>
      <w:r w:rsidR="00744477">
        <w:rPr>
          <w:b/>
          <w:bCs/>
        </w:rPr>
        <w:t>and accurate</w:t>
      </w:r>
      <w:r w:rsidR="009F223E">
        <w:rPr>
          <w:b/>
          <w:bCs/>
        </w:rPr>
        <w:t xml:space="preserve"> </w:t>
      </w:r>
      <w:r w:rsidR="00744477">
        <w:rPr>
          <w:b/>
          <w:bCs/>
        </w:rPr>
        <w:t>information</w:t>
      </w:r>
      <w:r>
        <w:rPr>
          <w:b/>
          <w:bCs/>
        </w:rPr>
        <w:t>.</w:t>
      </w:r>
      <w:bookmarkEnd w:id="56"/>
    </w:p>
    <w:p w14:paraId="795209E4" w14:textId="77777777" w:rsidR="00817CB2" w:rsidRPr="002115CD" w:rsidRDefault="00817CB2" w:rsidP="00F56CB4">
      <w:pPr>
        <w:spacing w:after="160"/>
        <w:rPr>
          <w:b/>
          <w:bCs/>
        </w:rPr>
      </w:pPr>
    </w:p>
    <w:p w14:paraId="2FBE1769" w14:textId="51CA26D4" w:rsidR="00BA5549" w:rsidRDefault="00837C47" w:rsidP="00FE5BA8">
      <w:pPr>
        <w:pStyle w:val="Heading3"/>
        <w:spacing w:after="160" w:line="360" w:lineRule="auto"/>
        <w:ind w:left="1571" w:hanging="851"/>
      </w:pPr>
      <w:bookmarkStart w:id="57" w:name="_Toc184414903"/>
      <w:r>
        <w:t xml:space="preserve">Remove </w:t>
      </w:r>
      <w:r w:rsidR="008C79B6">
        <w:t>unnecessary</w:t>
      </w:r>
      <w:r>
        <w:t xml:space="preserve"> complexity from systems</w:t>
      </w:r>
      <w:bookmarkEnd w:id="57"/>
    </w:p>
    <w:p w14:paraId="3C3C6FB0" w14:textId="0F37F4D4" w:rsidR="00837C47" w:rsidRPr="0017509E" w:rsidRDefault="00B62D04" w:rsidP="00F56CB4">
      <w:pPr>
        <w:spacing w:after="160"/>
      </w:pPr>
      <w:r>
        <w:t>While we understand the complexities</w:t>
      </w:r>
      <w:r w:rsidR="00F33A94">
        <w:t xml:space="preserve"> </w:t>
      </w:r>
      <w:r w:rsidR="00ED55FA">
        <w:t>inherent in</w:t>
      </w:r>
      <w:r w:rsidR="00F33A94">
        <w:t xml:space="preserve"> designing and managing </w:t>
      </w:r>
      <w:r w:rsidR="00C524A5">
        <w:t xml:space="preserve">national </w:t>
      </w:r>
      <w:r w:rsidR="00F346CB">
        <w:t>disability schem</w:t>
      </w:r>
      <w:r w:rsidR="00CA2133">
        <w:t>es</w:t>
      </w:r>
      <w:r w:rsidR="00C6560A">
        <w:t>,</w:t>
      </w:r>
      <w:r w:rsidR="005A2E8E">
        <w:t xml:space="preserve"> such as the NDIS and Disability Support Pension</w:t>
      </w:r>
      <w:r w:rsidR="00C6560A">
        <w:t xml:space="preserve"> (DSP)</w:t>
      </w:r>
      <w:r w:rsidR="005A2E8E">
        <w:t xml:space="preserve">, </w:t>
      </w:r>
      <w:r w:rsidR="00BA248B">
        <w:t>governments</w:t>
      </w:r>
      <w:r w:rsidR="005A2E8E">
        <w:t xml:space="preserve"> should </w:t>
      </w:r>
      <w:r w:rsidR="00846739">
        <w:t>be</w:t>
      </w:r>
      <w:r w:rsidR="0022036B">
        <w:t xml:space="preserve"> mindful of how</w:t>
      </w:r>
      <w:r w:rsidR="00C6560A">
        <w:t xml:space="preserve"> </w:t>
      </w:r>
      <w:r w:rsidR="00BB7A9E">
        <w:t>constructi</w:t>
      </w:r>
      <w:r w:rsidR="00367D9A">
        <w:t>ng</w:t>
      </w:r>
      <w:r w:rsidR="00BB7A9E">
        <w:t xml:space="preserve"> labyrinthine </w:t>
      </w:r>
      <w:r w:rsidR="003871EF">
        <w:t>burea</w:t>
      </w:r>
      <w:r w:rsidR="00740F4E">
        <w:t xml:space="preserve">ucratic processes </w:t>
      </w:r>
      <w:r w:rsidR="00371B68">
        <w:t xml:space="preserve">leads to flow on demand for advocacy services and capacity building programs. </w:t>
      </w:r>
      <w:r w:rsidR="002C0C0C">
        <w:t xml:space="preserve">More simply, </w:t>
      </w:r>
      <w:r w:rsidR="0047455C">
        <w:t>the more unnecessarily complicated the system</w:t>
      </w:r>
      <w:r w:rsidR="00973DF5">
        <w:t xml:space="preserve"> is</w:t>
      </w:r>
      <w:r w:rsidR="0047455C">
        <w:t xml:space="preserve">, the more </w:t>
      </w:r>
      <w:r w:rsidR="003811B1">
        <w:t>support will be required to navigate it</w:t>
      </w:r>
      <w:r w:rsidR="008A102D">
        <w:t xml:space="preserve"> and the greater the risk </w:t>
      </w:r>
      <w:r w:rsidR="00DC1C39">
        <w:t xml:space="preserve">that people with disability will abandon </w:t>
      </w:r>
      <w:r w:rsidR="008832DD">
        <w:t>seeking the supports they need and are entitled to receiv</w:t>
      </w:r>
      <w:r w:rsidR="00973DF5">
        <w:t>e</w:t>
      </w:r>
      <w:r w:rsidR="003811B1">
        <w:t>.</w:t>
      </w:r>
      <w:r w:rsidR="000C147B">
        <w:t xml:space="preserve"> We heard from our peer network connectors </w:t>
      </w:r>
      <w:r w:rsidR="00973DF5">
        <w:t>about</w:t>
      </w:r>
      <w:r w:rsidR="00DA1584">
        <w:t xml:space="preserve"> the difficulties </w:t>
      </w:r>
      <w:r w:rsidR="00464A5E">
        <w:t>posed by central government portals</w:t>
      </w:r>
      <w:r w:rsidR="00973DF5">
        <w:t>,</w:t>
      </w:r>
      <w:r w:rsidR="00464A5E">
        <w:t xml:space="preserve"> </w:t>
      </w:r>
      <w:r w:rsidR="00743E3A">
        <w:t>such as</w:t>
      </w:r>
      <w:r w:rsidR="00464A5E">
        <w:t xml:space="preserve"> MyGov</w:t>
      </w:r>
      <w:r w:rsidR="006A7A07">
        <w:t>,</w:t>
      </w:r>
      <w:r w:rsidR="00743E3A">
        <w:t xml:space="preserve"> and processes</w:t>
      </w:r>
      <w:r w:rsidR="006A7A07">
        <w:t xml:space="preserve"> like</w:t>
      </w:r>
      <w:r w:rsidR="00743E3A">
        <w:t xml:space="preserve"> NDIS access applications. </w:t>
      </w:r>
      <w:r w:rsidR="00CF49B2">
        <w:t>By designing intuitive, inclusive</w:t>
      </w:r>
      <w:r w:rsidR="006A7A07">
        <w:t>,</w:t>
      </w:r>
      <w:r w:rsidR="00CF49B2">
        <w:t xml:space="preserve"> and accessible </w:t>
      </w:r>
      <w:r w:rsidR="004E3147">
        <w:t>systems,</w:t>
      </w:r>
      <w:r w:rsidR="00B63B0F">
        <w:t xml:space="preserve"> </w:t>
      </w:r>
      <w:r w:rsidR="006A7A07">
        <w:t>governments</w:t>
      </w:r>
      <w:r w:rsidR="00B63B0F">
        <w:t xml:space="preserve"> can </w:t>
      </w:r>
      <w:r w:rsidR="00EB58FF">
        <w:t xml:space="preserve">reduce </w:t>
      </w:r>
      <w:r w:rsidR="00791CFE">
        <w:t xml:space="preserve">demand </w:t>
      </w:r>
      <w:r w:rsidR="00E24C89">
        <w:t>on advocacy and capacity building programs</w:t>
      </w:r>
      <w:r w:rsidR="00C04AAC">
        <w:t xml:space="preserve"> </w:t>
      </w:r>
      <w:r w:rsidR="00E24C89">
        <w:t xml:space="preserve">and ensure </w:t>
      </w:r>
      <w:r w:rsidR="00C422D6">
        <w:t xml:space="preserve">people with disability access the support they need early, when they first need it, rather than </w:t>
      </w:r>
      <w:r w:rsidR="00E67CA4">
        <w:t>later, when their needs are likely to be even greater</w:t>
      </w:r>
      <w:r w:rsidR="00156338">
        <w:t>, or not at all leading to harm or death</w:t>
      </w:r>
      <w:r w:rsidR="00E67CA4">
        <w:t xml:space="preserve">. </w:t>
      </w:r>
      <w:r w:rsidR="0079417D">
        <w:t xml:space="preserve">Once </w:t>
      </w:r>
      <w:r w:rsidR="0079417D">
        <w:lastRenderedPageBreak/>
        <w:t xml:space="preserve">these systems are designed, their offerings </w:t>
      </w:r>
      <w:r w:rsidR="00BA4780">
        <w:t xml:space="preserve">should be communicated in </w:t>
      </w:r>
      <w:r w:rsidR="00156338">
        <w:t xml:space="preserve">a variety of </w:t>
      </w:r>
      <w:r w:rsidR="00BA4780">
        <w:t>accessible formats</w:t>
      </w:r>
      <w:r w:rsidR="00156338">
        <w:t xml:space="preserve"> </w:t>
      </w:r>
      <w:r w:rsidR="00FD2167">
        <w:t xml:space="preserve">with </w:t>
      </w:r>
      <w:r w:rsidR="003A26F8">
        <w:t>face-to-face support available</w:t>
      </w:r>
      <w:r w:rsidR="00BA4780">
        <w:t>.</w:t>
      </w:r>
    </w:p>
    <w:p w14:paraId="774F239E" w14:textId="7A470DED" w:rsidR="00744477" w:rsidRDefault="003A26F8" w:rsidP="00F56CB4">
      <w:pPr>
        <w:spacing w:after="160"/>
        <w:rPr>
          <w:b/>
          <w:bCs/>
        </w:rPr>
      </w:pPr>
      <w:bookmarkStart w:id="58" w:name="_Hlk184409085"/>
      <w:r w:rsidRPr="00FE5BA8">
        <w:rPr>
          <w:rStyle w:val="Heading4Char"/>
        </w:rPr>
        <w:t xml:space="preserve">Recommendation </w:t>
      </w:r>
      <w:r>
        <w:rPr>
          <w:rStyle w:val="Heading4Char"/>
        </w:rPr>
        <w:t>22</w:t>
      </w:r>
      <w:r w:rsidRPr="00FE5BA8">
        <w:rPr>
          <w:rStyle w:val="Heading4Char"/>
        </w:rPr>
        <w:t>:</w:t>
      </w:r>
      <w:r>
        <w:rPr>
          <w:b/>
          <w:bCs/>
          <w:color w:val="7030A0"/>
        </w:rPr>
        <w:t xml:space="preserve"> </w:t>
      </w:r>
      <w:r>
        <w:rPr>
          <w:b/>
          <w:bCs/>
        </w:rPr>
        <w:t xml:space="preserve">Federal and State and Territory Governments should </w:t>
      </w:r>
      <w:r w:rsidR="006A7438">
        <w:rPr>
          <w:b/>
          <w:bCs/>
        </w:rPr>
        <w:t xml:space="preserve">review and </w:t>
      </w:r>
      <w:r>
        <w:rPr>
          <w:b/>
          <w:bCs/>
        </w:rPr>
        <w:t xml:space="preserve">reform their unnecessarily complex </w:t>
      </w:r>
      <w:r w:rsidR="006A7438">
        <w:rPr>
          <w:b/>
          <w:bCs/>
        </w:rPr>
        <w:t xml:space="preserve">bureaucratic systems and programs to make them </w:t>
      </w:r>
      <w:r w:rsidR="00C13448">
        <w:rPr>
          <w:b/>
          <w:bCs/>
        </w:rPr>
        <w:t>fit for purpose</w:t>
      </w:r>
      <w:r w:rsidR="002775DD">
        <w:rPr>
          <w:b/>
          <w:bCs/>
        </w:rPr>
        <w:t xml:space="preserve"> and </w:t>
      </w:r>
      <w:r w:rsidR="006A7438">
        <w:rPr>
          <w:b/>
          <w:bCs/>
        </w:rPr>
        <w:t xml:space="preserve">easy for people to access and navigate, thereby reducing reliance on </w:t>
      </w:r>
      <w:r w:rsidR="00432FB9">
        <w:rPr>
          <w:b/>
          <w:bCs/>
        </w:rPr>
        <w:t>information, advice, advocacy, and capacity building supports.</w:t>
      </w:r>
      <w:bookmarkEnd w:id="58"/>
    </w:p>
    <w:p w14:paraId="71E61B44" w14:textId="77777777" w:rsidR="00817CB2" w:rsidRPr="0017509E" w:rsidRDefault="00817CB2" w:rsidP="00F56CB4">
      <w:pPr>
        <w:spacing w:after="160"/>
      </w:pPr>
    </w:p>
    <w:p w14:paraId="01B54E3B" w14:textId="525A1420" w:rsidR="007162AD" w:rsidRDefault="0017509E" w:rsidP="00FE5BA8">
      <w:pPr>
        <w:pStyle w:val="Heading3"/>
        <w:spacing w:after="160" w:line="360" w:lineRule="auto"/>
        <w:ind w:left="1571" w:hanging="851"/>
      </w:pPr>
      <w:bookmarkStart w:id="59" w:name="_Toc184414904"/>
      <w:r>
        <w:t xml:space="preserve">Accessible </w:t>
      </w:r>
      <w:r w:rsidR="009D6232">
        <w:t xml:space="preserve">communication </w:t>
      </w:r>
      <w:r>
        <w:t xml:space="preserve">formats </w:t>
      </w:r>
      <w:r w:rsidR="003E5057">
        <w:t>required</w:t>
      </w:r>
      <w:bookmarkEnd w:id="59"/>
    </w:p>
    <w:p w14:paraId="713CA296" w14:textId="366E7D95" w:rsidR="00F9504F" w:rsidRDefault="00C66329" w:rsidP="00F56CB4">
      <w:pPr>
        <w:spacing w:after="160"/>
      </w:pPr>
      <w:r>
        <w:t>Given Australia’s international obligations under the UNCRPD</w:t>
      </w:r>
      <w:r w:rsidR="006B6226">
        <w:t>,</w:t>
      </w:r>
      <w:r>
        <w:t xml:space="preserve"> the recommendations of the DRC in Volumes 4 and 6 of their Final Report, </w:t>
      </w:r>
      <w:r w:rsidR="007A10AF">
        <w:t>and</w:t>
      </w:r>
      <w:r>
        <w:t xml:space="preserve"> the consequences for p</w:t>
      </w:r>
      <w:r w:rsidR="009F7E50">
        <w:t>eople with disability</w:t>
      </w:r>
      <w:r>
        <w:t xml:space="preserve"> when communications are not accessible, particularly when intersectionality is present, </w:t>
      </w:r>
      <w:r w:rsidR="009F7E50">
        <w:t xml:space="preserve">it is essential for information provided through any Foundational Support </w:t>
      </w:r>
      <w:r w:rsidR="009704B2">
        <w:t>to be</w:t>
      </w:r>
      <w:r w:rsidR="009F7E50">
        <w:t xml:space="preserve"> fully accessible. </w:t>
      </w:r>
      <w:r>
        <w:t xml:space="preserve">Australia is obliged under </w:t>
      </w:r>
      <w:r w:rsidR="009704B2">
        <w:t>A</w:t>
      </w:r>
      <w:r>
        <w:t>rticle 21 of UNCRPD to ‘accept and facilitate the use of sign languages, braille, augmentative and alternative communication, and all other accessible means, modes</w:t>
      </w:r>
      <w:r w:rsidR="00C60A1E">
        <w:t>,</w:t>
      </w:r>
      <w:r>
        <w:t xml:space="preserve"> and formats of communication that people with disability may choose’.</w:t>
      </w:r>
      <w:r w:rsidR="008C0BEE">
        <w:rPr>
          <w:rStyle w:val="FootnoteReference"/>
        </w:rPr>
        <w:footnoteReference w:id="42"/>
      </w:r>
      <w:r>
        <w:t xml:space="preserve"> </w:t>
      </w:r>
      <w:r w:rsidR="002034D8">
        <w:t>One definition</w:t>
      </w:r>
      <w:r w:rsidR="007C3361">
        <w:t xml:space="preserve"> of accessibility</w:t>
      </w:r>
      <w:r w:rsidR="002034D8">
        <w:t>, according</w:t>
      </w:r>
      <w:r w:rsidR="00BC535E">
        <w:t xml:space="preserve"> to </w:t>
      </w:r>
      <w:r w:rsidR="00BC535E" w:rsidRPr="00BC535E">
        <w:t xml:space="preserve">Dr Ariella Meltzer, </w:t>
      </w:r>
      <w:r w:rsidR="002034D8">
        <w:t>when giving evidence during</w:t>
      </w:r>
      <w:r w:rsidR="00BC535E" w:rsidRPr="00BC535E">
        <w:t xml:space="preserve"> the DRC, </w:t>
      </w:r>
      <w:r w:rsidR="007C3361">
        <w:t>includes</w:t>
      </w:r>
      <w:r w:rsidR="00BC535E" w:rsidRPr="00BC535E">
        <w:t xml:space="preserve"> visual and print accessibility, web accessibility, conceptual accessibility, as well as AUSLAN and alternative and augmented communications system needs.</w:t>
      </w:r>
      <w:r w:rsidR="007C3361">
        <w:rPr>
          <w:rStyle w:val="FootnoteReference"/>
        </w:rPr>
        <w:footnoteReference w:id="43"/>
      </w:r>
      <w:r w:rsidR="0069775D">
        <w:t xml:space="preserve"> To ensure information is as accessible </w:t>
      </w:r>
      <w:r w:rsidR="00A20587">
        <w:t xml:space="preserve">and inclusive </w:t>
      </w:r>
      <w:r w:rsidR="0069775D">
        <w:t>as possible, it should be genuinely co-designed</w:t>
      </w:r>
      <w:r w:rsidR="00F9504F">
        <w:t>.</w:t>
      </w:r>
    </w:p>
    <w:p w14:paraId="09CE74AA" w14:textId="3B058D3B" w:rsidR="00E72D49" w:rsidRDefault="00F9504F" w:rsidP="00F56CB4">
      <w:pPr>
        <w:spacing w:after="160"/>
      </w:pPr>
      <w:bookmarkStart w:id="60" w:name="_Hlk184409094"/>
      <w:r w:rsidRPr="005A164B">
        <w:rPr>
          <w:rStyle w:val="Heading4Char"/>
        </w:rPr>
        <w:t xml:space="preserve">Recommendation </w:t>
      </w:r>
      <w:r w:rsidR="00A20587" w:rsidRPr="005A164B">
        <w:rPr>
          <w:rStyle w:val="Heading4Char"/>
        </w:rPr>
        <w:t>2</w:t>
      </w:r>
      <w:r w:rsidR="005A164B" w:rsidRPr="005A164B">
        <w:rPr>
          <w:rStyle w:val="Heading4Char"/>
        </w:rPr>
        <w:t>3</w:t>
      </w:r>
      <w:r w:rsidRPr="005A164B">
        <w:rPr>
          <w:rStyle w:val="Heading4Char"/>
        </w:rPr>
        <w:t>:</w:t>
      </w:r>
      <w:r>
        <w:rPr>
          <w:b/>
          <w:bCs/>
          <w:color w:val="7030A0"/>
        </w:rPr>
        <w:t xml:space="preserve"> </w:t>
      </w:r>
      <w:r w:rsidR="005A164B">
        <w:rPr>
          <w:b/>
          <w:bCs/>
        </w:rPr>
        <w:t>Federal and State Governments</w:t>
      </w:r>
      <w:r w:rsidRPr="00125104">
        <w:rPr>
          <w:b/>
          <w:bCs/>
        </w:rPr>
        <w:t xml:space="preserve"> </w:t>
      </w:r>
      <w:r>
        <w:rPr>
          <w:b/>
          <w:bCs/>
        </w:rPr>
        <w:t>should engage in genuine co-design processes when designing any Foundational Supports intake processes or online portals to minimise complexity and ensure they are fully inclusive and accessible.</w:t>
      </w:r>
      <w:r w:rsidR="008F18F3">
        <w:t xml:space="preserve"> </w:t>
      </w:r>
      <w:bookmarkEnd w:id="60"/>
    </w:p>
    <w:p w14:paraId="1E2F3F33" w14:textId="77777777" w:rsidR="00817CB2" w:rsidRDefault="00817CB2" w:rsidP="00F56CB4">
      <w:pPr>
        <w:spacing w:after="160"/>
      </w:pPr>
    </w:p>
    <w:p w14:paraId="60C8E664" w14:textId="77777777" w:rsidR="00817CB2" w:rsidRPr="00F9504F" w:rsidRDefault="00817CB2" w:rsidP="00F56CB4">
      <w:pPr>
        <w:spacing w:after="160"/>
        <w:rPr>
          <w:b/>
        </w:rPr>
      </w:pPr>
    </w:p>
    <w:p w14:paraId="1D7821BC" w14:textId="00902A48" w:rsidR="00837C47" w:rsidRDefault="00837C47" w:rsidP="00FE5BA8">
      <w:pPr>
        <w:pStyle w:val="Heading3"/>
        <w:spacing w:after="160" w:line="360" w:lineRule="auto"/>
        <w:ind w:left="1571" w:hanging="851"/>
      </w:pPr>
      <w:bookmarkStart w:id="61" w:name="_Toc184414905"/>
      <w:r>
        <w:lastRenderedPageBreak/>
        <w:t>Importance of navigation role</w:t>
      </w:r>
      <w:bookmarkEnd w:id="61"/>
    </w:p>
    <w:p w14:paraId="1F38D606" w14:textId="47D481EA" w:rsidR="009B2D93" w:rsidRDefault="00A648F5" w:rsidP="00F56CB4">
      <w:pPr>
        <w:spacing w:after="160"/>
      </w:pPr>
      <w:r>
        <w:t>We appreciate the topic of navig</w:t>
      </w:r>
      <w:r w:rsidR="00346CB5">
        <w:t>ation supports was explicitly excluded from this consultation but</w:t>
      </w:r>
      <w:r w:rsidR="002B181F">
        <w:t xml:space="preserve">, as with advocacy supports, we are concerned this will undermine the coherence and integration </w:t>
      </w:r>
      <w:r w:rsidR="009B2D93">
        <w:t>of</w:t>
      </w:r>
      <w:r w:rsidR="00BF242F">
        <w:t xml:space="preserve"> a system that must work well as a whole.</w:t>
      </w:r>
      <w:r>
        <w:t xml:space="preserve"> </w:t>
      </w:r>
      <w:r w:rsidR="00161094">
        <w:t>Hence, we take the initiative to address this</w:t>
      </w:r>
      <w:r w:rsidR="009B2D93">
        <w:t xml:space="preserve"> important</w:t>
      </w:r>
      <w:r w:rsidR="00161094">
        <w:t xml:space="preserve"> topic here. </w:t>
      </w:r>
    </w:p>
    <w:p w14:paraId="615CA2EE" w14:textId="3E88BE1B" w:rsidR="002D62C8" w:rsidRDefault="00AD57F6" w:rsidP="00F56CB4">
      <w:pPr>
        <w:spacing w:after="160"/>
      </w:pPr>
      <w:r>
        <w:t>When designing the NDIS, t</w:t>
      </w:r>
      <w:r w:rsidR="002D62C8">
        <w:t>he role of Local Area Coordinators (LACs) under the NDIS</w:t>
      </w:r>
      <w:r>
        <w:t xml:space="preserve"> was to be</w:t>
      </w:r>
      <w:r w:rsidR="002D62C8">
        <w:t xml:space="preserve"> pivotal to realising the promise of advancing the life chances of Australians with disability. </w:t>
      </w:r>
      <w:r w:rsidR="00A022DB">
        <w:t xml:space="preserve">The role </w:t>
      </w:r>
      <w:r w:rsidR="002D62C8">
        <w:t xml:space="preserve">originated as </w:t>
      </w:r>
      <w:r w:rsidR="00085A07">
        <w:t>one</w:t>
      </w:r>
      <w:r w:rsidR="002D62C8">
        <w:t xml:space="preserve"> that create</w:t>
      </w:r>
      <w:r w:rsidR="00085A07">
        <w:t>d</w:t>
      </w:r>
      <w:r w:rsidR="002D62C8">
        <w:t xml:space="preserve"> long-term relationships of trust and respect that could enable individuals to pursue their personally defined life goals and fulfil their potential. It was also intended to build the capacity of communities to be places of welcome and inclusion where each person is an active, contributing, and valued member of community life. In 2011, the Productivity Commission’s report on Disability Care and Support identified the LAC role as key to the success of a new national disability scheme.</w:t>
      </w:r>
    </w:p>
    <w:p w14:paraId="4A814E99" w14:textId="7C74B106" w:rsidR="009C57EA" w:rsidRDefault="002D62C8" w:rsidP="00F56CB4">
      <w:pPr>
        <w:spacing w:after="160"/>
      </w:pPr>
      <w:r>
        <w:t xml:space="preserve">Unfortunately, </w:t>
      </w:r>
      <w:r w:rsidR="00924E68">
        <w:t>as found by the NDIS Review</w:t>
      </w:r>
      <w:r w:rsidR="00996FAE">
        <w:rPr>
          <w:rStyle w:val="FootnoteReference"/>
        </w:rPr>
        <w:footnoteReference w:id="44"/>
      </w:r>
      <w:r w:rsidR="00924E68">
        <w:t xml:space="preserve"> </w:t>
      </w:r>
      <w:r>
        <w:t>the implementation of the LAC role has lacked the clarity of purpose and practice needed to ground the Scheme within the local context of each participant. LACs undertake Scheme enrolment</w:t>
      </w:r>
      <w:r w:rsidR="006B167B">
        <w:t>, planning</w:t>
      </w:r>
      <w:r w:rsidR="00144082">
        <w:t>,</w:t>
      </w:r>
      <w:r w:rsidR="006B167B">
        <w:t xml:space="preserve"> and related</w:t>
      </w:r>
      <w:r>
        <w:t xml:space="preserve"> functions that sit more appropriately in the realm of NDIA staff. The LAC role is conflicted between serving the person and serving the Agency, with little to no focus on community connection. This has added considerable time and resource burdens </w:t>
      </w:r>
      <w:r w:rsidR="00304F5A">
        <w:t xml:space="preserve">to the role </w:t>
      </w:r>
      <w:r>
        <w:t xml:space="preserve">and distracts from the beneficial elements of the original </w:t>
      </w:r>
      <w:r w:rsidR="00304F5A">
        <w:t xml:space="preserve">LAC </w:t>
      </w:r>
      <w:r>
        <w:t>role. LACs spend most of their time connecting people to the NDIS rather than to their local community and mainstream services. NDIS participants regularly tell us their LAC has limited knowledge of – or presence in – their local community</w:t>
      </w:r>
      <w:r w:rsidR="00DF4AE5">
        <w:t xml:space="preserve">. </w:t>
      </w:r>
    </w:p>
    <w:p w14:paraId="109DB4ED" w14:textId="77B21BB3" w:rsidR="00547237" w:rsidRPr="00547237" w:rsidRDefault="009C57EA" w:rsidP="00F56CB4">
      <w:pPr>
        <w:spacing w:after="160"/>
      </w:pPr>
      <w:r>
        <w:t>It is critical</w:t>
      </w:r>
      <w:r w:rsidR="00236E30">
        <w:t>ly important that</w:t>
      </w:r>
      <w:r>
        <w:t xml:space="preserve"> this changes</w:t>
      </w:r>
      <w:r w:rsidR="00A34772">
        <w:t>.</w:t>
      </w:r>
      <w:r>
        <w:t xml:space="preserve"> </w:t>
      </w:r>
      <w:r w:rsidR="00A34772">
        <w:t>D</w:t>
      </w:r>
      <w:r>
        <w:t xml:space="preserve">esigning the </w:t>
      </w:r>
      <w:r w:rsidR="00A34772">
        <w:t xml:space="preserve">new navigation </w:t>
      </w:r>
      <w:r>
        <w:t xml:space="preserve">role should </w:t>
      </w:r>
      <w:r w:rsidR="009A6403">
        <w:t xml:space="preserve">be at the forefront of developing Foundational Supports, and, therefore, at the </w:t>
      </w:r>
      <w:r w:rsidR="00236E30">
        <w:t>core of this consultation.</w:t>
      </w:r>
      <w:r>
        <w:t xml:space="preserve"> </w:t>
      </w:r>
      <w:r w:rsidR="00A34772">
        <w:t>It</w:t>
      </w:r>
      <w:r w:rsidR="00FA66DD">
        <w:t xml:space="preserve"> should</w:t>
      </w:r>
      <w:r w:rsidR="00D500E2">
        <w:t xml:space="preserve"> be designed to</w:t>
      </w:r>
      <w:r w:rsidR="00FA66DD">
        <w:t xml:space="preserve"> </w:t>
      </w:r>
      <w:r w:rsidR="0050224B" w:rsidRPr="0050224B">
        <w:t xml:space="preserve">maximise the </w:t>
      </w:r>
      <w:r w:rsidR="0050224B" w:rsidRPr="0050224B">
        <w:rPr>
          <w:b/>
          <w:bCs/>
        </w:rPr>
        <w:t xml:space="preserve">transformational benefits </w:t>
      </w:r>
      <w:r w:rsidR="0050224B" w:rsidRPr="0050224B">
        <w:t xml:space="preserve">of </w:t>
      </w:r>
      <w:r w:rsidR="00FA66DD">
        <w:t>Foundational Supports</w:t>
      </w:r>
      <w:r w:rsidR="0050224B" w:rsidRPr="0050224B">
        <w:t xml:space="preserve"> for people with disability. For this to happen, the role needs to focus </w:t>
      </w:r>
      <w:r w:rsidR="0050224B" w:rsidRPr="0050224B">
        <w:lastRenderedPageBreak/>
        <w:t xml:space="preserve">on </w:t>
      </w:r>
      <w:r w:rsidR="0050224B" w:rsidRPr="0050224B">
        <w:rPr>
          <w:b/>
          <w:bCs/>
        </w:rPr>
        <w:t xml:space="preserve">unlocking genuine grassroots connections in local </w:t>
      </w:r>
      <w:proofErr w:type="gramStart"/>
      <w:r w:rsidR="0050224B" w:rsidRPr="0050224B">
        <w:rPr>
          <w:b/>
          <w:bCs/>
        </w:rPr>
        <w:t>communities</w:t>
      </w:r>
      <w:r w:rsidR="0050224B" w:rsidRPr="0050224B">
        <w:t xml:space="preserve">, </w:t>
      </w:r>
      <w:r w:rsidR="00D500E2">
        <w:t>and</w:t>
      </w:r>
      <w:proofErr w:type="gramEnd"/>
      <w:r w:rsidR="00D500E2">
        <w:t xml:space="preserve"> </w:t>
      </w:r>
      <w:r w:rsidR="0050224B" w:rsidRPr="0050224B">
        <w:t>linking people to opportunities and both formal and informal supports, within the context of authentic inclusion.</w:t>
      </w:r>
      <w:r w:rsidR="00D500E2">
        <w:t xml:space="preserve"> </w:t>
      </w:r>
      <w:r w:rsidR="00393ED3">
        <w:t xml:space="preserve">To be an effective </w:t>
      </w:r>
      <w:r w:rsidR="00034187">
        <w:t>n</w:t>
      </w:r>
      <w:r w:rsidR="00393ED3">
        <w:t>avigator, l</w:t>
      </w:r>
      <w:r w:rsidR="00547237" w:rsidRPr="00547237">
        <w:t xml:space="preserve">ongstanding local knowledge and networks </w:t>
      </w:r>
      <w:r w:rsidR="00393ED3">
        <w:t>will be the</w:t>
      </w:r>
      <w:r w:rsidR="00547237" w:rsidRPr="00547237">
        <w:t xml:space="preserve"> key. </w:t>
      </w:r>
      <w:r w:rsidR="00393ED3">
        <w:t>The</w:t>
      </w:r>
      <w:r w:rsidR="00547237" w:rsidRPr="00547237">
        <w:t xml:space="preserve"> role </w:t>
      </w:r>
      <w:r w:rsidR="00393ED3">
        <w:t>must be</w:t>
      </w:r>
      <w:r w:rsidR="00547237" w:rsidRPr="00547237">
        <w:t xml:space="preserve"> </w:t>
      </w:r>
      <w:r w:rsidR="00547237" w:rsidRPr="00547237">
        <w:rPr>
          <w:b/>
          <w:bCs/>
        </w:rPr>
        <w:t>inherently local</w:t>
      </w:r>
      <w:r w:rsidR="00547237" w:rsidRPr="00547237">
        <w:t xml:space="preserve">. Grassroots organisations and agencies hold the greatest prospects of delivering the best outcomes because they are embedded in the local communities they serve. They know who to talk to about what, and the most promising entry points for connecting to community life. They are </w:t>
      </w:r>
      <w:r w:rsidR="00547237" w:rsidRPr="00547237">
        <w:rPr>
          <w:i/>
          <w:iCs/>
        </w:rPr>
        <w:t xml:space="preserve">of </w:t>
      </w:r>
      <w:r w:rsidR="00547237" w:rsidRPr="00547237">
        <w:t xml:space="preserve">the communities that they serve. </w:t>
      </w:r>
    </w:p>
    <w:p w14:paraId="51D3ADF6" w14:textId="23D75B05" w:rsidR="004870DF" w:rsidRPr="004E7DA7" w:rsidRDefault="00547237" w:rsidP="00F56CB4">
      <w:pPr>
        <w:spacing w:after="160"/>
      </w:pPr>
      <w:r w:rsidRPr="00547237">
        <w:t xml:space="preserve">This was recognised in the Productivity Commission’s description of the LAC role as involving </w:t>
      </w:r>
      <w:r w:rsidRPr="00547237">
        <w:rPr>
          <w:i/>
          <w:iCs/>
        </w:rPr>
        <w:t>“locally based staff, operating at a ‘grassroots’ level”</w:t>
      </w:r>
      <w:r w:rsidRPr="00547237">
        <w:t>.</w:t>
      </w:r>
      <w:r w:rsidR="00662640">
        <w:rPr>
          <w:rStyle w:val="FootnoteReference"/>
        </w:rPr>
        <w:footnoteReference w:id="45"/>
      </w:r>
      <w:r w:rsidRPr="00547237">
        <w:t xml:space="preserve"> Further: </w:t>
      </w:r>
    </w:p>
    <w:p w14:paraId="6A41FFAA" w14:textId="47F25CE4" w:rsidR="00547237" w:rsidRPr="004E7DA7" w:rsidRDefault="00547237" w:rsidP="004E7DA7">
      <w:pPr>
        <w:spacing w:after="160"/>
        <w:ind w:left="720" w:right="720"/>
      </w:pPr>
      <w:r w:rsidRPr="004E7DA7">
        <w:t>Local area coordinators would be based in, and have close connections to, the local community, with knowledge of local providers and NGOs, and with some scope to respond flexibly to people’s needs. While the Commission sees the scheme as being based on national standards and funding, it would be locally executed, with power over such features as service delivery and capacity building at the local level. The NDIA should be about local solutions to local circumstances.</w:t>
      </w:r>
      <w:r w:rsidR="00662640">
        <w:rPr>
          <w:rStyle w:val="FootnoteReference"/>
        </w:rPr>
        <w:footnoteReference w:id="46"/>
      </w:r>
    </w:p>
    <w:p w14:paraId="00FA1D30" w14:textId="60EAF1A9" w:rsidR="00547237" w:rsidRPr="00547237" w:rsidRDefault="00547237" w:rsidP="00F56CB4">
      <w:pPr>
        <w:spacing w:after="160"/>
      </w:pPr>
      <w:r w:rsidRPr="00547237">
        <w:t xml:space="preserve">The current largescale commissioning of LAC providers </w:t>
      </w:r>
      <w:r w:rsidR="004870DF">
        <w:t>ha</w:t>
      </w:r>
      <w:r w:rsidRPr="00547237">
        <w:t>s not achieve</w:t>
      </w:r>
      <w:r w:rsidR="004870DF">
        <w:t>d</w:t>
      </w:r>
      <w:r w:rsidRPr="00547237">
        <w:t xml:space="preserve"> the objective of harnessing grassroots resources and realising positive outcomes at a community level. For example, in South Australia LAC supports are provided by three agencies, each serving vast geographic areas of the state encompassing many different local communities. It is highly unlikely that such agencies have the degree of </w:t>
      </w:r>
      <w:r w:rsidRPr="00547237">
        <w:rPr>
          <w:b/>
          <w:bCs/>
        </w:rPr>
        <w:t>local roots</w:t>
      </w:r>
      <w:r w:rsidRPr="00547237">
        <w:t xml:space="preserve">, </w:t>
      </w:r>
      <w:r w:rsidRPr="00547237">
        <w:rPr>
          <w:b/>
          <w:bCs/>
        </w:rPr>
        <w:t>knowledge</w:t>
      </w:r>
      <w:r w:rsidRPr="00547237">
        <w:t xml:space="preserve">, and </w:t>
      </w:r>
      <w:r w:rsidRPr="00547237">
        <w:rPr>
          <w:b/>
          <w:bCs/>
        </w:rPr>
        <w:t xml:space="preserve">networks </w:t>
      </w:r>
      <w:r w:rsidRPr="00547237">
        <w:t xml:space="preserve">necessary to provide effective LAC supports in every community they cover. Indeed, to date they have not demonstrated any advantages over what would be expected from networks of smaller, community-embedded grassroots agencies. </w:t>
      </w:r>
    </w:p>
    <w:p w14:paraId="268D4CAB" w14:textId="6EBE818E" w:rsidR="005D6C91" w:rsidRPr="005D6C91" w:rsidRDefault="00547237" w:rsidP="00F56CB4">
      <w:pPr>
        <w:spacing w:after="160"/>
      </w:pPr>
      <w:r w:rsidRPr="00547237">
        <w:t xml:space="preserve">It is hard to imagine significant improvement if the </w:t>
      </w:r>
      <w:r w:rsidR="006976A1">
        <w:t>DSS</w:t>
      </w:r>
      <w:r w:rsidR="00395A9F">
        <w:t xml:space="preserve"> or NDIA</w:t>
      </w:r>
      <w:r w:rsidRPr="00547237">
        <w:t xml:space="preserve"> were to take on </w:t>
      </w:r>
      <w:r w:rsidR="00C865F6">
        <w:t>a n</w:t>
      </w:r>
      <w:r w:rsidR="006976A1">
        <w:t>avigat</w:t>
      </w:r>
      <w:r w:rsidR="00C865F6">
        <w:t>ion</w:t>
      </w:r>
      <w:r w:rsidRPr="00547237">
        <w:t xml:space="preserve"> role</w:t>
      </w:r>
      <w:r w:rsidR="006976A1">
        <w:t>.</w:t>
      </w:r>
      <w:r w:rsidRPr="00547237">
        <w:t xml:space="preserve"> The only way to improve the current largescale commissioning approach would be to recruit </w:t>
      </w:r>
      <w:r w:rsidR="006976A1">
        <w:t>Navigators</w:t>
      </w:r>
      <w:r w:rsidRPr="00547237">
        <w:t xml:space="preserve"> from within local communities. However, these people are likely to be </w:t>
      </w:r>
      <w:r w:rsidRPr="00547237">
        <w:lastRenderedPageBreak/>
        <w:t>drawn</w:t>
      </w:r>
      <w:r w:rsidR="005D6C91">
        <w:t xml:space="preserve"> </w:t>
      </w:r>
      <w:r w:rsidR="005D6C91" w:rsidRPr="005D6C91">
        <w:t xml:space="preserve">from existing local grassroots organisations, which, in effect, would result in an unfortunate form of community asset-stripping by vacuuming up local staff into largescale agency work. </w:t>
      </w:r>
    </w:p>
    <w:p w14:paraId="1AB09A1E" w14:textId="5FE8A3D2" w:rsidR="00AA2A00" w:rsidRDefault="005D6C91" w:rsidP="00F56CB4">
      <w:pPr>
        <w:spacing w:after="160"/>
      </w:pPr>
      <w:r w:rsidRPr="005D6C91">
        <w:t xml:space="preserve">While there are additional challenges in providing </w:t>
      </w:r>
      <w:r w:rsidR="002F044E">
        <w:t>n</w:t>
      </w:r>
      <w:r>
        <w:t>avigational</w:t>
      </w:r>
      <w:r w:rsidRPr="005D6C91">
        <w:t xml:space="preserve"> supports in remote areas with ‘thin markets’, a developmental approach to commissioning programs offers a pathway to an effective solution. This would see the </w:t>
      </w:r>
      <w:r w:rsidR="002F044E">
        <w:t>government</w:t>
      </w:r>
      <w:r w:rsidRPr="005D6C91">
        <w:t xml:space="preserve"> partnering with local communities and local leaders to co-design and co-produce appropriate local solutions</w:t>
      </w:r>
      <w:r w:rsidR="004110B0">
        <w:t xml:space="preserve">, rather than awarding contracts to providers with no previous </w:t>
      </w:r>
      <w:r w:rsidR="00CE714A">
        <w:t>footprint in the region, which was identified as a problem in the NDIS Review</w:t>
      </w:r>
      <w:r w:rsidR="00CE714A">
        <w:rPr>
          <w:rStyle w:val="FootnoteReference"/>
        </w:rPr>
        <w:footnoteReference w:id="47"/>
      </w:r>
      <w:r w:rsidRPr="005D6C91">
        <w:t>. We believe this approach would be essential in First Nations communities.</w:t>
      </w:r>
      <w:r w:rsidR="00371333">
        <w:t xml:space="preserve"> </w:t>
      </w:r>
    </w:p>
    <w:p w14:paraId="016FC10C" w14:textId="4025A1AC" w:rsidR="002104DE" w:rsidRDefault="00CF6AA2" w:rsidP="00F56CB4">
      <w:pPr>
        <w:spacing w:after="160"/>
      </w:pPr>
      <w:r w:rsidRPr="00CF6AA2">
        <w:t>We believe p</w:t>
      </w:r>
      <w:r w:rsidR="000155A5">
        <w:t>eople with disability should have a</w:t>
      </w:r>
      <w:r w:rsidRPr="00CF6AA2">
        <w:t xml:space="preserve"> choice</w:t>
      </w:r>
      <w:r w:rsidR="000155A5">
        <w:t xml:space="preserve"> of </w:t>
      </w:r>
      <w:r w:rsidR="001806A3">
        <w:t>n</w:t>
      </w:r>
      <w:r w:rsidR="000155A5">
        <w:t>avigator to ensure they are</w:t>
      </w:r>
      <w:r w:rsidRPr="00CF6AA2">
        <w:t xml:space="preserve"> the </w:t>
      </w:r>
      <w:r w:rsidRPr="00CF6AA2">
        <w:rPr>
          <w:b/>
          <w:bCs/>
          <w:i/>
          <w:iCs/>
        </w:rPr>
        <w:t>agent of the p</w:t>
      </w:r>
      <w:r w:rsidR="000155A5">
        <w:rPr>
          <w:b/>
          <w:bCs/>
          <w:i/>
          <w:iCs/>
        </w:rPr>
        <w:t>erson</w:t>
      </w:r>
      <w:r w:rsidRPr="00CF6AA2">
        <w:t xml:space="preserve">. The </w:t>
      </w:r>
      <w:r w:rsidR="001806A3">
        <w:t xml:space="preserve">new </w:t>
      </w:r>
      <w:r w:rsidRPr="00CF6AA2">
        <w:t xml:space="preserve">model should encourage a diverse range of </w:t>
      </w:r>
      <w:r w:rsidR="001806A3">
        <w:t>n</w:t>
      </w:r>
      <w:r w:rsidR="00D30597">
        <w:t>avigator</w:t>
      </w:r>
      <w:r w:rsidRPr="00CF6AA2">
        <w:t xml:space="preserve"> offerings that could include, but not be limited to, locality-based grassroots agencies, agencies specialising in specific types or consequences of disability, and agencies focused on First Nations people or culturally and linguistically diverse p</w:t>
      </w:r>
      <w:r w:rsidR="00CF181F">
        <w:t>eople</w:t>
      </w:r>
      <w:r w:rsidR="00267CCF">
        <w:t xml:space="preserve"> with disability</w:t>
      </w:r>
      <w:r w:rsidRPr="00CF6AA2">
        <w:t>. This means the p</w:t>
      </w:r>
      <w:r w:rsidR="00267CCF">
        <w:t>erson with disability</w:t>
      </w:r>
      <w:r w:rsidRPr="00CF6AA2">
        <w:t xml:space="preserve"> would have the opportunity to choose the </w:t>
      </w:r>
      <w:r w:rsidR="001806A3">
        <w:t>n</w:t>
      </w:r>
      <w:r w:rsidR="00267CCF">
        <w:t>avigator</w:t>
      </w:r>
      <w:r w:rsidRPr="00CF6AA2">
        <w:t xml:space="preserve"> that fits them best. It could be because of a deep knowledge of the person’s disability or culture, or a focus on a particular high-priority goal such as a desire to find sustainable mainstream waged employment. P</w:t>
      </w:r>
      <w:r w:rsidR="003C310C">
        <w:t>ersonal</w:t>
      </w:r>
      <w:r w:rsidRPr="00CF6AA2">
        <w:t xml:space="preserve"> choice would also incentivise </w:t>
      </w:r>
      <w:r w:rsidR="00EA263F">
        <w:t>n</w:t>
      </w:r>
      <w:r w:rsidR="003C310C">
        <w:t>avigat</w:t>
      </w:r>
      <w:r w:rsidR="00EA263F">
        <w:t>ion</w:t>
      </w:r>
      <w:r w:rsidR="00EE5BC5">
        <w:t xml:space="preserve"> providers</w:t>
      </w:r>
      <w:r w:rsidRPr="00CF6AA2">
        <w:t xml:space="preserve"> to improve the quality of what they offer so they are a provider of choice</w:t>
      </w:r>
      <w:r w:rsidR="00BB12D0">
        <w:t xml:space="preserve">, including by providing better quality </w:t>
      </w:r>
      <w:r w:rsidR="00EE5BC5">
        <w:t>training to workers</w:t>
      </w:r>
      <w:r w:rsidRPr="00CF6AA2">
        <w:t>.</w:t>
      </w:r>
    </w:p>
    <w:p w14:paraId="13F83234" w14:textId="1EF1F252" w:rsidR="000155A5" w:rsidRDefault="007520C9" w:rsidP="00F56CB4">
      <w:pPr>
        <w:spacing w:after="160"/>
      </w:pPr>
      <w:r w:rsidRPr="007520C9">
        <w:t xml:space="preserve">A </w:t>
      </w:r>
      <w:r w:rsidRPr="007520C9">
        <w:rPr>
          <w:b/>
          <w:bCs/>
        </w:rPr>
        <w:t xml:space="preserve">pilot program </w:t>
      </w:r>
      <w:r w:rsidRPr="007520C9">
        <w:t xml:space="preserve">of </w:t>
      </w:r>
      <w:r>
        <w:t xml:space="preserve">the </w:t>
      </w:r>
      <w:r w:rsidR="00EA263F">
        <w:t>new n</w:t>
      </w:r>
      <w:r>
        <w:t>avigator</w:t>
      </w:r>
      <w:r w:rsidRPr="007520C9">
        <w:t xml:space="preserve"> </w:t>
      </w:r>
      <w:r w:rsidR="00EA263F">
        <w:t xml:space="preserve">model </w:t>
      </w:r>
      <w:r w:rsidRPr="007520C9">
        <w:t>should be implemented to gather data, finetune details, and lay the groundwork for scaling up. The roll out of a new model should then be accompanied by strong accountability and evaluation mechanisms that ensure proper measurement of impact and outcomes</w:t>
      </w:r>
      <w:r w:rsidR="00E679F4">
        <w:t>, which was identified as a shortcoming of LACs in the NDIS Review.</w:t>
      </w:r>
      <w:r w:rsidR="00E679F4">
        <w:rPr>
          <w:rStyle w:val="FootnoteReference"/>
        </w:rPr>
        <w:footnoteReference w:id="48"/>
      </w:r>
      <w:r w:rsidR="00304EC4">
        <w:t xml:space="preserve"> Critically, the design</w:t>
      </w:r>
      <w:r w:rsidR="00391074">
        <w:t xml:space="preserve"> and piloting</w:t>
      </w:r>
      <w:r w:rsidR="00304EC4">
        <w:t xml:space="preserve"> of the new role </w:t>
      </w:r>
      <w:r w:rsidR="002E6AA6">
        <w:t>should</w:t>
      </w:r>
      <w:r w:rsidR="00304EC4">
        <w:t xml:space="preserve"> occur </w:t>
      </w:r>
      <w:r w:rsidR="002E6AA6">
        <w:t xml:space="preserve">as a priority and </w:t>
      </w:r>
      <w:r w:rsidR="00304EC4">
        <w:t xml:space="preserve">in tandem </w:t>
      </w:r>
      <w:r w:rsidR="00391074">
        <w:t xml:space="preserve">with Foundational Supports to ensure all elements are </w:t>
      </w:r>
      <w:r w:rsidR="00391074">
        <w:lastRenderedPageBreak/>
        <w:t xml:space="preserve">complementary and function as a joined-up whole where people do not fall through the </w:t>
      </w:r>
      <w:r w:rsidR="002E6AA6">
        <w:t>support gaps that currently persist.</w:t>
      </w:r>
      <w:r w:rsidR="000163AE">
        <w:t xml:space="preserve"> </w:t>
      </w:r>
      <w:r w:rsidR="00483850">
        <w:t xml:space="preserve">The success of </w:t>
      </w:r>
      <w:r w:rsidR="00C52873">
        <w:t xml:space="preserve">a new </w:t>
      </w:r>
      <w:r w:rsidR="00483850">
        <w:t xml:space="preserve">navigation </w:t>
      </w:r>
      <w:r w:rsidR="00C52873">
        <w:t xml:space="preserve">model </w:t>
      </w:r>
      <w:r w:rsidR="00483850">
        <w:t>and Foundational Supports will ultimately be mutually dependent</w:t>
      </w:r>
      <w:r w:rsidR="00C52873">
        <w:t xml:space="preserve"> with any problems in one </w:t>
      </w:r>
      <w:r w:rsidR="000A13AC">
        <w:t>aspect</w:t>
      </w:r>
      <w:r w:rsidR="00C52873">
        <w:t xml:space="preserve"> impacting the outcomes of the other. </w:t>
      </w:r>
    </w:p>
    <w:p w14:paraId="4BE72CE3" w14:textId="0CF3DA2F" w:rsidR="00F24847" w:rsidRPr="00E5501B" w:rsidRDefault="001450C0" w:rsidP="00F56CB4">
      <w:pPr>
        <w:spacing w:after="160"/>
        <w:rPr>
          <w:b/>
          <w:bCs/>
        </w:rPr>
      </w:pPr>
      <w:bookmarkStart w:id="62" w:name="_Hlk184409108"/>
      <w:r w:rsidRPr="00FE5BA8">
        <w:rPr>
          <w:rStyle w:val="Heading4Char"/>
        </w:rPr>
        <w:t xml:space="preserve">Recommendation </w:t>
      </w:r>
      <w:r w:rsidR="009A5699">
        <w:rPr>
          <w:rStyle w:val="Heading4Char"/>
        </w:rPr>
        <w:t>24</w:t>
      </w:r>
      <w:r w:rsidRPr="00FE5BA8">
        <w:rPr>
          <w:rStyle w:val="Heading4Char"/>
        </w:rPr>
        <w:t>:</w:t>
      </w:r>
      <w:r>
        <w:rPr>
          <w:b/>
          <w:bCs/>
          <w:color w:val="7030A0"/>
        </w:rPr>
        <w:t xml:space="preserve"> </w:t>
      </w:r>
      <w:r w:rsidRPr="00125104">
        <w:rPr>
          <w:b/>
          <w:bCs/>
        </w:rPr>
        <w:t xml:space="preserve">The </w:t>
      </w:r>
      <w:r w:rsidR="009A5699">
        <w:rPr>
          <w:b/>
          <w:bCs/>
        </w:rPr>
        <w:t>Australian Government</w:t>
      </w:r>
      <w:r w:rsidRPr="00125104">
        <w:rPr>
          <w:b/>
          <w:bCs/>
        </w:rPr>
        <w:t xml:space="preserve"> </w:t>
      </w:r>
      <w:r>
        <w:rPr>
          <w:b/>
          <w:bCs/>
        </w:rPr>
        <w:t>should</w:t>
      </w:r>
      <w:r w:rsidR="004C0532">
        <w:rPr>
          <w:b/>
          <w:bCs/>
        </w:rPr>
        <w:t xml:space="preserve"> </w:t>
      </w:r>
      <w:r w:rsidR="000163AE">
        <w:rPr>
          <w:b/>
          <w:bCs/>
        </w:rPr>
        <w:t xml:space="preserve">place </w:t>
      </w:r>
      <w:r w:rsidR="008D44B3">
        <w:rPr>
          <w:b/>
          <w:bCs/>
        </w:rPr>
        <w:t>co-</w:t>
      </w:r>
      <w:r w:rsidR="000163AE">
        <w:rPr>
          <w:b/>
          <w:bCs/>
        </w:rPr>
        <w:t>designing a new model for navigation</w:t>
      </w:r>
      <w:r w:rsidR="004A7AE1">
        <w:rPr>
          <w:b/>
          <w:bCs/>
        </w:rPr>
        <w:t>al</w:t>
      </w:r>
      <w:r w:rsidR="000163AE">
        <w:rPr>
          <w:b/>
          <w:bCs/>
        </w:rPr>
        <w:t xml:space="preserve"> supports at the forefront of developing Foundational Supports. </w:t>
      </w:r>
      <w:r w:rsidR="00F90E9C">
        <w:rPr>
          <w:b/>
          <w:bCs/>
        </w:rPr>
        <w:t xml:space="preserve">It should prioritise piloting a navigation model that leverages the </w:t>
      </w:r>
      <w:r w:rsidR="002342A0">
        <w:rPr>
          <w:b/>
          <w:bCs/>
        </w:rPr>
        <w:t xml:space="preserve">local </w:t>
      </w:r>
      <w:r w:rsidR="00F90E9C">
        <w:rPr>
          <w:b/>
          <w:bCs/>
        </w:rPr>
        <w:t>knowledge</w:t>
      </w:r>
      <w:r w:rsidR="002342A0">
        <w:rPr>
          <w:b/>
          <w:bCs/>
        </w:rPr>
        <w:t xml:space="preserve"> and </w:t>
      </w:r>
      <w:r w:rsidR="00F90E9C">
        <w:rPr>
          <w:b/>
          <w:bCs/>
        </w:rPr>
        <w:t>connections</w:t>
      </w:r>
      <w:r w:rsidR="002342A0">
        <w:rPr>
          <w:b/>
          <w:bCs/>
        </w:rPr>
        <w:t xml:space="preserve"> of grassroots organisations embedded in their communities</w:t>
      </w:r>
      <w:r w:rsidR="00E5501B">
        <w:rPr>
          <w:b/>
          <w:bCs/>
        </w:rPr>
        <w:t xml:space="preserve"> </w:t>
      </w:r>
      <w:proofErr w:type="gramStart"/>
      <w:r w:rsidR="00E5501B">
        <w:rPr>
          <w:b/>
          <w:bCs/>
        </w:rPr>
        <w:t>in order to</w:t>
      </w:r>
      <w:proofErr w:type="gramEnd"/>
      <w:r w:rsidR="00E5501B">
        <w:rPr>
          <w:b/>
          <w:bCs/>
        </w:rPr>
        <w:t xml:space="preserve"> </w:t>
      </w:r>
      <w:r w:rsidR="00FE28BB">
        <w:rPr>
          <w:b/>
          <w:bCs/>
        </w:rPr>
        <w:t>gather data, finetune details</w:t>
      </w:r>
      <w:r w:rsidR="00E5501B">
        <w:rPr>
          <w:b/>
          <w:bCs/>
        </w:rPr>
        <w:t>,</w:t>
      </w:r>
      <w:r w:rsidR="00FE28BB">
        <w:rPr>
          <w:b/>
          <w:bCs/>
        </w:rPr>
        <w:t xml:space="preserve"> and lay the groundwork for scaling </w:t>
      </w:r>
      <w:r w:rsidR="00FE28BB" w:rsidRPr="00E22BD8">
        <w:rPr>
          <w:b/>
          <w:bCs/>
        </w:rPr>
        <w:t>up.</w:t>
      </w:r>
      <w:r w:rsidR="00DC2365" w:rsidRPr="00E22BD8">
        <w:rPr>
          <w:b/>
          <w:bCs/>
        </w:rPr>
        <w:t xml:space="preserve"> </w:t>
      </w:r>
      <w:r w:rsidR="00E313DA" w:rsidRPr="00E22BD8">
        <w:rPr>
          <w:b/>
          <w:bCs/>
        </w:rPr>
        <w:t xml:space="preserve">Critically, the </w:t>
      </w:r>
      <w:r w:rsidR="007B2F95" w:rsidRPr="00E22BD8">
        <w:rPr>
          <w:b/>
          <w:bCs/>
        </w:rPr>
        <w:t xml:space="preserve">person with disability should be able to choose a navigator </w:t>
      </w:r>
      <w:r w:rsidR="00E22BD8" w:rsidRPr="00E22BD8">
        <w:rPr>
          <w:b/>
          <w:bCs/>
        </w:rPr>
        <w:t>who</w:t>
      </w:r>
      <w:r w:rsidR="007B2F95" w:rsidRPr="00E22BD8">
        <w:rPr>
          <w:b/>
          <w:bCs/>
        </w:rPr>
        <w:t xml:space="preserve"> is right for them.</w:t>
      </w:r>
      <w:r w:rsidR="00E313DA" w:rsidRPr="00E22BD8">
        <w:rPr>
          <w:b/>
          <w:bCs/>
        </w:rPr>
        <w:t xml:space="preserve"> </w:t>
      </w:r>
      <w:r w:rsidR="00DC2365" w:rsidRPr="00E22BD8">
        <w:rPr>
          <w:b/>
          <w:bCs/>
        </w:rPr>
        <w:t>The</w:t>
      </w:r>
      <w:r w:rsidR="00DC2365" w:rsidRPr="00DC2365">
        <w:rPr>
          <w:b/>
          <w:bCs/>
        </w:rPr>
        <w:t xml:space="preserve"> roll out of a new model should then be accompanied by strong accountability and evaluation mechanisms that ensure proper measurement of impact and outcomes</w:t>
      </w:r>
      <w:r w:rsidR="00DC2365">
        <w:rPr>
          <w:b/>
          <w:bCs/>
        </w:rPr>
        <w:t>.</w:t>
      </w:r>
      <w:bookmarkEnd w:id="62"/>
    </w:p>
    <w:p w14:paraId="11617725" w14:textId="77777777" w:rsidR="004626F6" w:rsidRDefault="004626F6" w:rsidP="00F56CB4">
      <w:pPr>
        <w:spacing w:after="160"/>
        <w:rPr>
          <w:rFonts w:cstheme="minorHAnsi"/>
          <w:b/>
          <w:color w:val="522E91"/>
          <w:sz w:val="32"/>
          <w:szCs w:val="32"/>
        </w:rPr>
      </w:pPr>
      <w:r>
        <w:br w:type="page"/>
      </w:r>
    </w:p>
    <w:p w14:paraId="03B825DD" w14:textId="68AEB4F8" w:rsidR="008B50E9" w:rsidRDefault="00C23C74" w:rsidP="00F56CB4">
      <w:pPr>
        <w:pStyle w:val="Heading1"/>
        <w:spacing w:after="160" w:line="360" w:lineRule="auto"/>
      </w:pPr>
      <w:bookmarkStart w:id="63" w:name="_Toc184414906"/>
      <w:r w:rsidRPr="008B120B">
        <w:lastRenderedPageBreak/>
        <w:t>Conclusion</w:t>
      </w:r>
      <w:bookmarkEnd w:id="63"/>
    </w:p>
    <w:p w14:paraId="34F11894" w14:textId="77777777" w:rsidR="00356551" w:rsidRDefault="00356551" w:rsidP="00356551">
      <w:pPr>
        <w:spacing w:after="160"/>
      </w:pPr>
      <w:r>
        <w:t>Thank you for the opportunity to contribute a submission toward the development of Foundational Supports</w:t>
      </w:r>
      <w:r w:rsidRPr="00973B2E">
        <w:t>.</w:t>
      </w:r>
      <w:r>
        <w:t xml:space="preserve"> </w:t>
      </w:r>
    </w:p>
    <w:p w14:paraId="62A0C2FC" w14:textId="145C7070" w:rsidR="00356551" w:rsidRDefault="00356551" w:rsidP="00356551">
      <w:pPr>
        <w:spacing w:after="160"/>
      </w:pPr>
      <w:r>
        <w:t xml:space="preserve">We </w:t>
      </w:r>
      <w:r w:rsidR="00AB5E47">
        <w:t xml:space="preserve">are optimistic that </w:t>
      </w:r>
      <w:r>
        <w:t xml:space="preserve">Foundational Supports </w:t>
      </w:r>
      <w:r w:rsidR="00AB5E47">
        <w:t xml:space="preserve">will </w:t>
      </w:r>
      <w:r w:rsidR="009F058C">
        <w:t xml:space="preserve">address the significant gaps </w:t>
      </w:r>
      <w:r w:rsidR="001D77D0">
        <w:t xml:space="preserve">in support for people with disability </w:t>
      </w:r>
      <w:r w:rsidR="009F058C">
        <w:t xml:space="preserve">that </w:t>
      </w:r>
      <w:r w:rsidR="001D77D0">
        <w:t xml:space="preserve">currently exist outside the NDIS. </w:t>
      </w:r>
      <w:r w:rsidR="006C13CE">
        <w:t>We hope our input in this submission can assist in designing an effective holistic model</w:t>
      </w:r>
      <w:r w:rsidR="00503D87">
        <w:t xml:space="preserve"> to underpin general Foundational Supports </w:t>
      </w:r>
      <w:r w:rsidR="00F727BF">
        <w:t>including by highlighting the value of peer support networks</w:t>
      </w:r>
      <w:r w:rsidR="00EF4498">
        <w:t>;</w:t>
      </w:r>
      <w:r w:rsidR="00F727BF">
        <w:t xml:space="preserve"> the need for a </w:t>
      </w:r>
      <w:r w:rsidR="00835A8F">
        <w:t xml:space="preserve">comprehensive approach to advocacy that recognises how self-advocacy is entwined with </w:t>
      </w:r>
      <w:r w:rsidR="00EF4498">
        <w:t>independent individual advocacy, representative and peer group advocacy, and systemic advocacy</w:t>
      </w:r>
      <w:r w:rsidR="00380C20">
        <w:t xml:space="preserve">; the benefits of </w:t>
      </w:r>
      <w:r w:rsidR="00F021A1">
        <w:t xml:space="preserve">designing a new way to deliver capacity building supports </w:t>
      </w:r>
      <w:r w:rsidR="00236DA1">
        <w:t>for people with disability</w:t>
      </w:r>
      <w:r w:rsidR="009330C4">
        <w:t>,</w:t>
      </w:r>
      <w:r w:rsidR="00236DA1">
        <w:t xml:space="preserve"> as well as all </w:t>
      </w:r>
      <w:r w:rsidR="009330C4">
        <w:t>parts</w:t>
      </w:r>
      <w:r w:rsidR="00236DA1">
        <w:t xml:space="preserve"> of society that </w:t>
      </w:r>
      <w:r w:rsidR="008B0993">
        <w:t>will benefit from increased knowledge,</w:t>
      </w:r>
      <w:r w:rsidR="000E43FF">
        <w:t xml:space="preserve"> more skills, and </w:t>
      </w:r>
      <w:r w:rsidR="0036092E">
        <w:t xml:space="preserve">the opportunity to address negative attitudes; and </w:t>
      </w:r>
      <w:r w:rsidR="009330C4">
        <w:t xml:space="preserve">the need to improve how information is provided and </w:t>
      </w:r>
      <w:r w:rsidR="00ED170F">
        <w:t xml:space="preserve">how advice can be sought. Each of these will </w:t>
      </w:r>
      <w:r w:rsidR="00BE56F2">
        <w:t xml:space="preserve">benefit from the implementation of a genuine co-design approach that </w:t>
      </w:r>
      <w:r w:rsidR="008F6458">
        <w:t>draws on the experiences, insights, and ideas of a diverse range of Australians with disability and other stakeholders.</w:t>
      </w:r>
      <w:r w:rsidR="00EF4498">
        <w:t xml:space="preserve"> </w:t>
      </w:r>
    </w:p>
    <w:p w14:paraId="391F8427" w14:textId="05F52A07" w:rsidR="00771B6C" w:rsidRDefault="00356551" w:rsidP="00356551">
      <w:pPr>
        <w:spacing w:after="160"/>
      </w:pPr>
      <w:r>
        <w:t xml:space="preserve">We would like to advise </w:t>
      </w:r>
      <w:r w:rsidR="008F51F7">
        <w:t xml:space="preserve">the Federal and South Australian Governments </w:t>
      </w:r>
      <w:r>
        <w:t xml:space="preserve">of our eagerness to participate in further opportunities </w:t>
      </w:r>
      <w:r w:rsidR="008F51F7">
        <w:t xml:space="preserve">to help shape </w:t>
      </w:r>
      <w:r w:rsidR="009846F8">
        <w:t>all aspects of Foundational Supports</w:t>
      </w:r>
      <w:r>
        <w:t xml:space="preserve">. We are available to meet to discuss this submission and our </w:t>
      </w:r>
      <w:r w:rsidR="00D2759B">
        <w:t xml:space="preserve">ILC-funded </w:t>
      </w:r>
      <w:r>
        <w:t xml:space="preserve">projects </w:t>
      </w:r>
      <w:r w:rsidR="009846F8">
        <w:t xml:space="preserve">that are likely to </w:t>
      </w:r>
      <w:r w:rsidR="0056177E">
        <w:t xml:space="preserve">fit well </w:t>
      </w:r>
      <w:r w:rsidR="00D2759B">
        <w:t>under</w:t>
      </w:r>
      <w:r w:rsidR="0056177E">
        <w:t xml:space="preserve"> the Foundational Supports </w:t>
      </w:r>
      <w:r w:rsidR="00B10F6D">
        <w:t>framework</w:t>
      </w:r>
      <w:r>
        <w:t xml:space="preserve">. </w:t>
      </w:r>
      <w:r w:rsidR="00B10F6D">
        <w:t>We sincerely hope to be able to continue th</w:t>
      </w:r>
      <w:r w:rsidR="000B134B">
        <w:t>ese successful projects for the benefit of South Australians with disability and our</w:t>
      </w:r>
      <w:r w:rsidR="00771B6C">
        <w:t xml:space="preserve"> communities. As noted earlier in this submission, we are eager to understand </w:t>
      </w:r>
      <w:r w:rsidR="00CF5662">
        <w:t xml:space="preserve">funding arrangements for these projects going forward, especially for those </w:t>
      </w:r>
      <w:r w:rsidR="00500301">
        <w:t xml:space="preserve">facing uncertain </w:t>
      </w:r>
      <w:r w:rsidR="0031700E">
        <w:t xml:space="preserve">financial </w:t>
      </w:r>
      <w:r w:rsidR="00500301">
        <w:t xml:space="preserve">futures beyond </w:t>
      </w:r>
      <w:r w:rsidR="0031700E">
        <w:t xml:space="preserve">30 June 2025. We hope that funding certainty can be provided as a matter of urgency so we can assure our anxious </w:t>
      </w:r>
      <w:r w:rsidR="002E3B8D">
        <w:t xml:space="preserve">stakeholders who remain scarred by the </w:t>
      </w:r>
      <w:r w:rsidR="005C7630">
        <w:t xml:space="preserve">delayed decisions </w:t>
      </w:r>
      <w:r w:rsidR="00AB5E47">
        <w:t>of</w:t>
      </w:r>
      <w:r w:rsidR="005C7630">
        <w:t xml:space="preserve"> the last financial year. </w:t>
      </w:r>
    </w:p>
    <w:p w14:paraId="35AD06BB" w14:textId="21246456" w:rsidR="008849F3" w:rsidRPr="008849F3" w:rsidRDefault="00356551" w:rsidP="000D4F56">
      <w:pPr>
        <w:spacing w:after="160"/>
      </w:pPr>
      <w:r w:rsidRPr="00FB21D3">
        <w:t xml:space="preserve">To arrange </w:t>
      </w:r>
      <w:r w:rsidR="00AB5E47">
        <w:t>a meeting</w:t>
      </w:r>
      <w:r w:rsidRPr="00FB21D3">
        <w:t xml:space="preserve">, please contact Mr Robbi Williams, CEO of JFA Purple Orange, on </w:t>
      </w:r>
      <w:r w:rsidR="00AB5E47">
        <w:br/>
      </w:r>
      <w:r w:rsidRPr="00FB21D3">
        <w:t xml:space="preserve">(08) 8373 8302 or </w:t>
      </w:r>
      <w:hyperlink r:id="rId15" w:history="1">
        <w:r w:rsidRPr="009F4BC5">
          <w:rPr>
            <w:rStyle w:val="Hyperlink"/>
          </w:rPr>
          <w:t>robbiw@purpleorange.org.au</w:t>
        </w:r>
      </w:hyperlink>
      <w:r w:rsidRPr="00FB21D3">
        <w:t>.</w:t>
      </w:r>
    </w:p>
    <w:sectPr w:rsidR="008849F3" w:rsidRPr="008849F3" w:rsidSect="00EE2EB4">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7BF9" w14:textId="77777777" w:rsidR="000A1E81" w:rsidRDefault="000A1E81" w:rsidP="00D003C5">
      <w:r>
        <w:separator/>
      </w:r>
    </w:p>
    <w:p w14:paraId="2872E73C" w14:textId="77777777" w:rsidR="000A1E81" w:rsidRDefault="000A1E81" w:rsidP="00D003C5"/>
    <w:p w14:paraId="5B1DB23A" w14:textId="77777777" w:rsidR="000A1E81" w:rsidRDefault="000A1E81" w:rsidP="00D003C5"/>
  </w:endnote>
  <w:endnote w:type="continuationSeparator" w:id="0">
    <w:p w14:paraId="69451FCC" w14:textId="77777777" w:rsidR="000A1E81" w:rsidRDefault="000A1E81" w:rsidP="00D003C5">
      <w:r>
        <w:continuationSeparator/>
      </w:r>
    </w:p>
    <w:p w14:paraId="1BE1C461" w14:textId="77777777" w:rsidR="000A1E81" w:rsidRDefault="000A1E81" w:rsidP="00D003C5"/>
    <w:p w14:paraId="3F378CF6" w14:textId="77777777" w:rsidR="000A1E81" w:rsidRDefault="000A1E81" w:rsidP="00D003C5"/>
  </w:endnote>
  <w:endnote w:type="continuationNotice" w:id="1">
    <w:p w14:paraId="77CE1856" w14:textId="77777777" w:rsidR="000A1E81" w:rsidRDefault="000A1E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941" w14:textId="07FB33BE" w:rsidR="004E029E" w:rsidRPr="00064882" w:rsidRDefault="00916D7C" w:rsidP="00D003C5">
    <w:pPr>
      <w:pStyle w:val="Footer"/>
    </w:pPr>
    <w:r>
      <w:t>JFA Purple Orange</w:t>
    </w:r>
    <w:r>
      <w:ptab w:relativeTo="margin" w:alignment="center" w:leader="none"/>
    </w:r>
    <w:r>
      <w:ptab w:relativeTo="margin" w:alignment="right" w:leader="none"/>
    </w:r>
    <w:r w:rsidRPr="00916D7C">
      <w:fldChar w:fldCharType="begin"/>
    </w:r>
    <w:r w:rsidRPr="00916D7C">
      <w:instrText xml:space="preserve"> PAGE   \* MERGEFORMAT </w:instrText>
    </w:r>
    <w:r w:rsidRPr="00916D7C">
      <w:fldChar w:fldCharType="separate"/>
    </w:r>
    <w:r w:rsidRPr="00916D7C">
      <w:rPr>
        <w:noProof/>
      </w:rPr>
      <w:t>1</w:t>
    </w:r>
    <w:r w:rsidRPr="00916D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4199" w14:textId="77777777" w:rsidR="000A1E81" w:rsidRDefault="000A1E81" w:rsidP="00D003C5">
      <w:r>
        <w:separator/>
      </w:r>
    </w:p>
  </w:footnote>
  <w:footnote w:type="continuationSeparator" w:id="0">
    <w:p w14:paraId="54F586DE" w14:textId="77777777" w:rsidR="000A1E81" w:rsidRDefault="000A1E81" w:rsidP="00D003C5">
      <w:r>
        <w:continuationSeparator/>
      </w:r>
    </w:p>
    <w:p w14:paraId="6A43D780" w14:textId="77777777" w:rsidR="000A1E81" w:rsidRDefault="000A1E81" w:rsidP="00D003C5"/>
    <w:p w14:paraId="47AF3612" w14:textId="77777777" w:rsidR="000A1E81" w:rsidRDefault="000A1E81" w:rsidP="00D003C5"/>
  </w:footnote>
  <w:footnote w:type="continuationNotice" w:id="1">
    <w:p w14:paraId="2D1AEFDA" w14:textId="77777777" w:rsidR="000A1E81" w:rsidRDefault="000A1E81">
      <w:pPr>
        <w:spacing w:line="240" w:lineRule="auto"/>
      </w:pPr>
    </w:p>
  </w:footnote>
  <w:footnote w:id="2">
    <w:p w14:paraId="44DF628A" w14:textId="12E24A26" w:rsidR="00CA0B85" w:rsidRPr="00CA0B85" w:rsidRDefault="00CA0B85">
      <w:pPr>
        <w:pStyle w:val="FootnoteText"/>
        <w:rPr>
          <w:lang w:val="en-GB"/>
        </w:rPr>
      </w:pPr>
      <w:r>
        <w:rPr>
          <w:rStyle w:val="FootnoteReference"/>
        </w:rPr>
        <w:footnoteRef/>
      </w:r>
      <w:r>
        <w:t xml:space="preserve"> </w:t>
      </w:r>
      <w:r w:rsidR="006F3D16">
        <w:t>See</w:t>
      </w:r>
      <w:r w:rsidR="00FA2D6B">
        <w:t>,</w:t>
      </w:r>
      <w:r w:rsidR="006F3D16">
        <w:t xml:space="preserve"> for example, </w:t>
      </w:r>
      <w:hyperlink r:id="rId1" w:history="1">
        <w:r w:rsidR="001F3E6A" w:rsidRPr="00C032DC">
          <w:rPr>
            <w:rStyle w:val="Hyperlink"/>
          </w:rPr>
          <w:t>https://www.abc.net.au/listen/programs/adelaide-mornings/ndis/103126496</w:t>
        </w:r>
      </w:hyperlink>
      <w:r w:rsidR="001F3E6A">
        <w:t xml:space="preserve">. </w:t>
      </w:r>
    </w:p>
  </w:footnote>
  <w:footnote w:id="3">
    <w:p w14:paraId="23024109" w14:textId="51827187" w:rsidR="00772793" w:rsidRPr="00772793" w:rsidRDefault="00772793">
      <w:pPr>
        <w:pStyle w:val="FootnoteText"/>
        <w:rPr>
          <w:lang w:val="en-GB"/>
        </w:rPr>
      </w:pPr>
      <w:r>
        <w:rPr>
          <w:rStyle w:val="FootnoteReference"/>
        </w:rPr>
        <w:footnoteRef/>
      </w:r>
      <w:r>
        <w:t xml:space="preserve"> </w:t>
      </w:r>
      <w:r w:rsidR="003E5F47" w:rsidRPr="003E5F47">
        <w:t>NDIS Review, ‘Final Report: Working together to deliver the NDIS’, 2023, p</w:t>
      </w:r>
      <w:r w:rsidR="00F41D09">
        <w:t>p.24-26</w:t>
      </w:r>
      <w:r w:rsidR="003E5F47" w:rsidRPr="003E5F47">
        <w:t xml:space="preserve">, available at </w:t>
      </w:r>
      <w:hyperlink r:id="rId2" w:history="1">
        <w:r w:rsidR="003E5F47" w:rsidRPr="00C032DC">
          <w:rPr>
            <w:rStyle w:val="Hyperlink"/>
          </w:rPr>
          <w:t>https://www.ndisreview.gov.au/sites/default/files/resource/download/working-together-ndis-review-final-report.pdf</w:t>
        </w:r>
      </w:hyperlink>
      <w:r w:rsidR="003E5F47" w:rsidRPr="003E5F47">
        <w:t>.</w:t>
      </w:r>
    </w:p>
  </w:footnote>
  <w:footnote w:id="4">
    <w:p w14:paraId="622EFCFB" w14:textId="7A93DD1F" w:rsidR="00C82CA9" w:rsidRPr="00C82CA9" w:rsidRDefault="00C82CA9">
      <w:pPr>
        <w:pStyle w:val="FootnoteText"/>
        <w:rPr>
          <w:lang w:val="en-GB"/>
        </w:rPr>
      </w:pPr>
      <w:r>
        <w:rPr>
          <w:rStyle w:val="FootnoteReference"/>
        </w:rPr>
        <w:footnoteRef/>
      </w:r>
      <w:r>
        <w:t xml:space="preserve"> </w:t>
      </w:r>
      <w:r w:rsidR="00AF4765" w:rsidRPr="00AF4765">
        <w:t xml:space="preserve">Productivity Commission, ‘Disability Care and Support,’ Report no.54, 2011, available at </w:t>
      </w:r>
      <w:hyperlink r:id="rId3" w:history="1">
        <w:r w:rsidR="00AF4765" w:rsidRPr="00C032DC">
          <w:rPr>
            <w:rStyle w:val="Hyperlink"/>
          </w:rPr>
          <w:t>https://www.pc.gov.au/inquiries/completed/disability-support/report</w:t>
        </w:r>
      </w:hyperlink>
      <w:r w:rsidR="00AF4765" w:rsidRPr="00AF4765">
        <w:t>.</w:t>
      </w:r>
    </w:p>
  </w:footnote>
  <w:footnote w:id="5">
    <w:p w14:paraId="342B8FBA" w14:textId="051B3721" w:rsidR="00290F3A" w:rsidRPr="00771A4F" w:rsidRDefault="00290F3A">
      <w:pPr>
        <w:pStyle w:val="FootnoteText"/>
      </w:pPr>
      <w:r>
        <w:rPr>
          <w:rStyle w:val="FootnoteReference"/>
        </w:rPr>
        <w:footnoteRef/>
      </w:r>
      <w:r>
        <w:t xml:space="preserve"> </w:t>
      </w:r>
      <w:r w:rsidRPr="00290F3A">
        <w:t xml:space="preserve">See, for example, </w:t>
      </w:r>
      <w:hyperlink r:id="rId4" w:history="1">
        <w:r w:rsidR="00771A4F" w:rsidRPr="00A3739A">
          <w:rPr>
            <w:rStyle w:val="Hyperlink"/>
          </w:rPr>
          <w:t>https://www.ndti.org.uk/resources/what-works-in-community-led-support</w:t>
        </w:r>
      </w:hyperlink>
      <w:r w:rsidR="00771A4F">
        <w:t>.</w:t>
      </w:r>
    </w:p>
  </w:footnote>
  <w:footnote w:id="6">
    <w:p w14:paraId="043D9D88" w14:textId="6E001B58" w:rsidR="00877EEA" w:rsidRPr="00877EEA" w:rsidRDefault="00877EEA">
      <w:pPr>
        <w:pStyle w:val="FootnoteText"/>
        <w:rPr>
          <w:lang w:val="en-GB"/>
        </w:rPr>
      </w:pPr>
      <w:r>
        <w:rPr>
          <w:rStyle w:val="FootnoteReference"/>
        </w:rPr>
        <w:footnoteRef/>
      </w:r>
      <w:r>
        <w:t xml:space="preserve"> </w:t>
      </w:r>
      <w:r w:rsidR="003844C4">
        <w:t xml:space="preserve">R. Williams, ‘Model of Citizenhood Support’, 2nd edition, 2013, Julia Farr Association Inc, Unley, South </w:t>
      </w:r>
      <w:r w:rsidR="003844C4" w:rsidRPr="00F05F78">
        <w:t xml:space="preserve">Australia. </w:t>
      </w:r>
      <w:r w:rsidR="003844C4" w:rsidRPr="00F05F78">
        <w:rPr>
          <w:color w:val="000000" w:themeColor="text1"/>
        </w:rPr>
        <w:t xml:space="preserve">See </w:t>
      </w:r>
      <w:hyperlink r:id="rId5" w:history="1">
        <w:r w:rsidR="003844C4" w:rsidRPr="00147A26">
          <w:rPr>
            <w:rStyle w:val="Hyperlink"/>
          </w:rPr>
          <w:t>https://www.purpleorange.org.au/what-we-do/library-our-work/model-citizenhood-support</w:t>
        </w:r>
      </w:hyperlink>
      <w:r w:rsidR="003844C4">
        <w:rPr>
          <w:color w:val="000000" w:themeColor="text1"/>
        </w:rPr>
        <w:t>.</w:t>
      </w:r>
    </w:p>
  </w:footnote>
  <w:footnote w:id="7">
    <w:p w14:paraId="4ED07B60" w14:textId="78D38F70" w:rsidR="00CE707A" w:rsidRPr="00F05F78" w:rsidRDefault="00CE707A" w:rsidP="00CE707A">
      <w:pPr>
        <w:pStyle w:val="FootnoteText"/>
        <w:rPr>
          <w:color w:val="000000" w:themeColor="text1"/>
        </w:rPr>
      </w:pPr>
      <w:r>
        <w:rPr>
          <w:rStyle w:val="FootnoteReference"/>
        </w:rPr>
        <w:footnoteRef/>
      </w:r>
      <w:r>
        <w:t xml:space="preserve"> </w:t>
      </w:r>
      <w:r w:rsidR="003844C4" w:rsidRPr="007E4623">
        <w:rPr>
          <w:i/>
          <w:iCs/>
        </w:rPr>
        <w:t>Ibid</w:t>
      </w:r>
      <w:r w:rsidR="003844C4">
        <w:t>.</w:t>
      </w:r>
    </w:p>
  </w:footnote>
  <w:footnote w:id="8">
    <w:p w14:paraId="7F0013B6" w14:textId="1BA9BB6B" w:rsidR="004357CA" w:rsidRPr="004357CA" w:rsidRDefault="004357CA">
      <w:pPr>
        <w:pStyle w:val="FootnoteText"/>
        <w:rPr>
          <w:lang w:val="en-US"/>
        </w:rPr>
      </w:pPr>
      <w:r>
        <w:rPr>
          <w:rStyle w:val="FootnoteReference"/>
        </w:rPr>
        <w:footnoteRef/>
      </w:r>
      <w:r>
        <w:t xml:space="preserve"> </w:t>
      </w:r>
      <w:r w:rsidR="00382A9E" w:rsidRPr="003E5F47">
        <w:t>NDIS Review, ‘Final Report: Working together to deliver the NDIS’, 2023, p</w:t>
      </w:r>
      <w:r w:rsidR="00382A9E">
        <w:t>.173</w:t>
      </w:r>
      <w:r w:rsidR="00382A9E" w:rsidRPr="003E5F47">
        <w:t xml:space="preserve">, available at </w:t>
      </w:r>
      <w:hyperlink r:id="rId6" w:history="1">
        <w:r w:rsidR="00382A9E" w:rsidRPr="00C032DC">
          <w:rPr>
            <w:rStyle w:val="Hyperlink"/>
          </w:rPr>
          <w:t>https://www.ndisreview.gov.au/sites/default/files/resource/download/working-together-ndis-review-final-report.pdf</w:t>
        </w:r>
      </w:hyperlink>
      <w:r w:rsidR="00382A9E" w:rsidRPr="003E5F47">
        <w:t>.</w:t>
      </w:r>
      <w:r>
        <w:t xml:space="preserve"> </w:t>
      </w:r>
    </w:p>
  </w:footnote>
  <w:footnote w:id="9">
    <w:p w14:paraId="3C0868F0" w14:textId="2E7A01A1" w:rsidR="00C031C2" w:rsidRPr="00C031C2" w:rsidRDefault="00C031C2">
      <w:pPr>
        <w:pStyle w:val="FootnoteText"/>
        <w:rPr>
          <w:lang w:val="en-GB"/>
        </w:rPr>
      </w:pPr>
      <w:r>
        <w:rPr>
          <w:rStyle w:val="FootnoteReference"/>
        </w:rPr>
        <w:footnoteRef/>
      </w:r>
      <w:r w:rsidR="007E4623">
        <w:t xml:space="preserve"> </w:t>
      </w:r>
      <w:r w:rsidR="00382A9E" w:rsidRPr="007E4623">
        <w:rPr>
          <w:i/>
          <w:iCs/>
        </w:rPr>
        <w:t>Ibid</w:t>
      </w:r>
      <w:r w:rsidR="00382A9E">
        <w:t>, p.35</w:t>
      </w:r>
      <w:r w:rsidR="001A4ED1" w:rsidRPr="003E5F47">
        <w:t>.</w:t>
      </w:r>
    </w:p>
  </w:footnote>
  <w:footnote w:id="10">
    <w:p w14:paraId="45876E29" w14:textId="5D07607B" w:rsidR="00810F2B" w:rsidRPr="00810F2B" w:rsidRDefault="00810F2B">
      <w:pPr>
        <w:pStyle w:val="FootnoteText"/>
        <w:rPr>
          <w:lang w:val="en-US"/>
        </w:rPr>
      </w:pPr>
      <w:r w:rsidRPr="00C37A24">
        <w:rPr>
          <w:rStyle w:val="FootnoteReference"/>
        </w:rPr>
        <w:footnoteRef/>
      </w:r>
      <w:r w:rsidRPr="00C37A24">
        <w:t xml:space="preserve"> </w:t>
      </w:r>
      <w:r w:rsidRPr="007E4623">
        <w:rPr>
          <w:i/>
          <w:iCs/>
          <w:lang w:val="en-US"/>
        </w:rPr>
        <w:t>Ibid</w:t>
      </w:r>
      <w:r w:rsidRPr="00C37A24">
        <w:rPr>
          <w:lang w:val="en-US"/>
        </w:rPr>
        <w:t>.</w:t>
      </w:r>
    </w:p>
  </w:footnote>
  <w:footnote w:id="11">
    <w:p w14:paraId="66237A20" w14:textId="083AE865" w:rsidR="00BF0FFD" w:rsidRPr="00BF0FFD" w:rsidRDefault="00BF0FFD">
      <w:pPr>
        <w:pStyle w:val="FootnoteText"/>
        <w:rPr>
          <w:lang w:val="en-US"/>
        </w:rPr>
      </w:pPr>
      <w:r>
        <w:rPr>
          <w:rStyle w:val="FootnoteReference"/>
        </w:rPr>
        <w:footnoteRef/>
      </w:r>
      <w:r>
        <w:t xml:space="preserve"> </w:t>
      </w:r>
      <w:r w:rsidRPr="00A82D31">
        <w:t>Commonwealth of Australia, Department of the Prime Minister and Cabinet</w:t>
      </w:r>
      <w:r w:rsidR="005133E8">
        <w:t>,</w:t>
      </w:r>
      <w:r w:rsidRPr="00A82D31">
        <w:t xml:space="preserve"> </w:t>
      </w:r>
      <w:r w:rsidRPr="00A82D31">
        <w:t>Working together to deliver the NDIS - Independent Review into the National Disability Insurance Scheme: Final Report</w:t>
      </w:r>
      <w:r>
        <w:t>, p. ii.</w:t>
      </w:r>
    </w:p>
  </w:footnote>
  <w:footnote w:id="12">
    <w:p w14:paraId="6300E187" w14:textId="567C2B15" w:rsidR="00846580" w:rsidRPr="00846580" w:rsidRDefault="00846580">
      <w:pPr>
        <w:pStyle w:val="FootnoteText"/>
        <w:rPr>
          <w:lang w:val="en-GB"/>
        </w:rPr>
      </w:pPr>
      <w:r>
        <w:rPr>
          <w:rStyle w:val="FootnoteReference"/>
        </w:rPr>
        <w:footnoteRef/>
      </w:r>
      <w:r>
        <w:t xml:space="preserve"> </w:t>
      </w:r>
      <w:r w:rsidR="00AD49ED">
        <w:t xml:space="preserve">See </w:t>
      </w:r>
      <w:hyperlink r:id="rId7" w:history="1">
        <w:r w:rsidR="00AD49ED" w:rsidRPr="00C032DC">
          <w:rPr>
            <w:rStyle w:val="Hyperlink"/>
          </w:rPr>
          <w:t>https://purpleorange.org.au/news-resources/media-releases/governments-disability-royal-commission-responses</w:t>
        </w:r>
      </w:hyperlink>
      <w:r w:rsidR="00AD49ED">
        <w:t>.</w:t>
      </w:r>
    </w:p>
  </w:footnote>
  <w:footnote w:id="13">
    <w:p w14:paraId="33E73481" w14:textId="21D08D4A" w:rsidR="000455C7" w:rsidRPr="000455C7" w:rsidRDefault="000455C7">
      <w:pPr>
        <w:pStyle w:val="FootnoteText"/>
        <w:rPr>
          <w:lang w:val="en-GB"/>
        </w:rPr>
      </w:pPr>
      <w:r>
        <w:rPr>
          <w:rStyle w:val="FootnoteReference"/>
        </w:rPr>
        <w:footnoteRef/>
      </w:r>
      <w:r>
        <w:t xml:space="preserve"> </w:t>
      </w:r>
      <w:r w:rsidR="00E949F4">
        <w:t xml:space="preserve">Available at </w:t>
      </w:r>
      <w:hyperlink r:id="rId8" w:history="1">
        <w:r w:rsidR="0002281C" w:rsidRPr="00C032DC">
          <w:rPr>
            <w:rStyle w:val="Hyperlink"/>
          </w:rPr>
          <w:t>https://www.dva.gov.au/documents-and-publications/governments-response-royal-commissions-final-report</w:t>
        </w:r>
      </w:hyperlink>
      <w:r w:rsidR="0002281C">
        <w:t>.</w:t>
      </w:r>
    </w:p>
  </w:footnote>
  <w:footnote w:id="14">
    <w:p w14:paraId="23A3157D" w14:textId="78E3B28A" w:rsidR="00FC1177" w:rsidRPr="00FC1177" w:rsidRDefault="00FC1177">
      <w:pPr>
        <w:pStyle w:val="FootnoteText"/>
        <w:rPr>
          <w:lang w:val="en-GB"/>
        </w:rPr>
      </w:pPr>
      <w:r>
        <w:rPr>
          <w:rStyle w:val="FootnoteReference"/>
        </w:rPr>
        <w:footnoteRef/>
      </w:r>
      <w:r>
        <w:t xml:space="preserve"> </w:t>
      </w:r>
      <w:r w:rsidR="00C50C57" w:rsidRPr="00C50C57">
        <w:t xml:space="preserve">See further at </w:t>
      </w:r>
      <w:hyperlink r:id="rId9" w:history="1">
        <w:r w:rsidR="00C50C57" w:rsidRPr="00C032DC">
          <w:rPr>
            <w:rStyle w:val="Hyperlink"/>
          </w:rPr>
          <w:t>https://www.ndis.gov.au/news/10522-statement-ndis-funded-music-and-art-therapy</w:t>
        </w:r>
      </w:hyperlink>
      <w:r w:rsidR="00C50C57" w:rsidRPr="00C50C57">
        <w:t>.</w:t>
      </w:r>
    </w:p>
  </w:footnote>
  <w:footnote w:id="15">
    <w:p w14:paraId="69329978" w14:textId="77777777" w:rsidR="00055C61" w:rsidRPr="00BD7CC7" w:rsidRDefault="00055C61" w:rsidP="00055C61">
      <w:pPr>
        <w:pStyle w:val="FootnoteText"/>
      </w:pPr>
      <w:r>
        <w:rPr>
          <w:rStyle w:val="FootnoteReference"/>
        </w:rPr>
        <w:footnoteRef/>
      </w:r>
      <w:r>
        <w:t xml:space="preserve"> </w:t>
      </w:r>
      <w:r w:rsidRPr="00524897">
        <w:t xml:space="preserve">Productivity Commission, 'National Disability Insurance Scheme (NDIS) Costs Study Report', October 2017, p.30, available at </w:t>
      </w:r>
      <w:hyperlink r:id="rId10" w:history="1">
        <w:r w:rsidRPr="00A3739A">
          <w:rPr>
            <w:rStyle w:val="Hyperlink"/>
          </w:rPr>
          <w:t>https://www.pc.gov.au/inquiries/completed/ndis-costs/report/ndis-costs.pdf</w:t>
        </w:r>
      </w:hyperlink>
      <w:r>
        <w:t>.</w:t>
      </w:r>
    </w:p>
  </w:footnote>
  <w:footnote w:id="16">
    <w:p w14:paraId="55366DBB" w14:textId="23007E7C" w:rsidR="00055C61" w:rsidRPr="00163363" w:rsidRDefault="00055C61" w:rsidP="00055C61">
      <w:pPr>
        <w:pStyle w:val="FootnoteText"/>
        <w:rPr>
          <w:lang w:val="en-US"/>
        </w:rPr>
      </w:pPr>
      <w:r>
        <w:rPr>
          <w:rStyle w:val="FootnoteReference"/>
        </w:rPr>
        <w:footnoteRef/>
      </w:r>
      <w:r>
        <w:t xml:space="preserve"> </w:t>
      </w:r>
      <w:r w:rsidR="00D47A32" w:rsidRPr="003E5F47">
        <w:t>NDIS Review, ‘Final Report: Working together to deliver the NDIS’, 2023, p</w:t>
      </w:r>
      <w:r w:rsidR="00D47A32">
        <w:t>.</w:t>
      </w:r>
      <w:r w:rsidR="00F87F41">
        <w:t>39</w:t>
      </w:r>
      <w:r w:rsidR="00D47A32" w:rsidRPr="003E5F47">
        <w:t xml:space="preserve">, available at </w:t>
      </w:r>
      <w:hyperlink r:id="rId11" w:history="1">
        <w:r w:rsidR="00D47A32" w:rsidRPr="00C032DC">
          <w:rPr>
            <w:rStyle w:val="Hyperlink"/>
          </w:rPr>
          <w:t>https://www.ndisreview.gov.au/sites/default/files/resource/download/working-together-ndis-review-final-report.pdf</w:t>
        </w:r>
      </w:hyperlink>
      <w:r w:rsidR="00D47A32" w:rsidRPr="003E5F47">
        <w:t>.</w:t>
      </w:r>
    </w:p>
  </w:footnote>
  <w:footnote w:id="17">
    <w:p w14:paraId="241C704F" w14:textId="01AD6276" w:rsidR="00055C61" w:rsidRPr="007D4C76" w:rsidRDefault="00055C61" w:rsidP="00055C61">
      <w:pPr>
        <w:pStyle w:val="FootnoteText"/>
        <w:rPr>
          <w:lang w:val="en-US"/>
        </w:rPr>
      </w:pPr>
      <w:r>
        <w:rPr>
          <w:rStyle w:val="FootnoteReference"/>
        </w:rPr>
        <w:footnoteRef/>
      </w:r>
      <w:r>
        <w:t xml:space="preserve"> </w:t>
      </w:r>
      <w:r w:rsidRPr="00F87F41">
        <w:rPr>
          <w:i/>
          <w:iCs/>
          <w:lang w:val="en-US"/>
        </w:rPr>
        <w:t>Ibid</w:t>
      </w:r>
      <w:r w:rsidR="00F87F41">
        <w:rPr>
          <w:lang w:val="en-US"/>
        </w:rPr>
        <w:t>,</w:t>
      </w:r>
      <w:r>
        <w:rPr>
          <w:lang w:val="en-US"/>
        </w:rPr>
        <w:t xml:space="preserve"> p.46. </w:t>
      </w:r>
    </w:p>
  </w:footnote>
  <w:footnote w:id="18">
    <w:p w14:paraId="01FED0B2" w14:textId="734180EE" w:rsidR="00055C61" w:rsidRPr="00BD7CC7" w:rsidRDefault="00055C61" w:rsidP="00055C61">
      <w:pPr>
        <w:pStyle w:val="FootnoteText"/>
      </w:pPr>
      <w:r>
        <w:rPr>
          <w:rStyle w:val="FootnoteReference"/>
        </w:rPr>
        <w:footnoteRef/>
      </w:r>
      <w:r>
        <w:t xml:space="preserve"> </w:t>
      </w:r>
      <w:r w:rsidRPr="00463CF8">
        <w:t xml:space="preserve">See </w:t>
      </w:r>
      <w:hyperlink r:id="rId12" w:history="1">
        <w:r w:rsidRPr="00A3739A">
          <w:rPr>
            <w:rStyle w:val="Hyperlink"/>
          </w:rPr>
          <w:t>https://www.dss.gov.au/disability-and-carers-programs-services-for-people-with-disability-information-linkages-and-capacity-building-ilc/summary-informing-investment-design-information-linkages-and-capacity-building-ilc-research-activity</w:t>
        </w:r>
      </w:hyperlink>
      <w:r>
        <w:t>.</w:t>
      </w:r>
    </w:p>
  </w:footnote>
  <w:footnote w:id="19">
    <w:p w14:paraId="01C3748F" w14:textId="2233AFCD" w:rsidR="00A56AE5" w:rsidRPr="00205FE3" w:rsidRDefault="00A56AE5" w:rsidP="00A56AE5">
      <w:pPr>
        <w:pStyle w:val="FootnoteText"/>
        <w:rPr>
          <w:lang w:val="en-US"/>
        </w:rPr>
      </w:pPr>
      <w:r>
        <w:rPr>
          <w:rStyle w:val="FootnoteReference"/>
        </w:rPr>
        <w:footnoteRef/>
      </w:r>
      <w:r>
        <w:t xml:space="preserve"> </w:t>
      </w:r>
      <w:r w:rsidR="00DC09B5" w:rsidRPr="003E5F47">
        <w:t>NDIS Review, ‘Final Report: Working together to deliver the NDIS’, 2023, p</w:t>
      </w:r>
      <w:r w:rsidR="00DC09B5">
        <w:t>.61</w:t>
      </w:r>
      <w:r w:rsidR="00DC09B5" w:rsidRPr="003E5F47">
        <w:t xml:space="preserve">, available at </w:t>
      </w:r>
      <w:hyperlink r:id="rId13" w:history="1">
        <w:r w:rsidR="00DC09B5" w:rsidRPr="00C032DC">
          <w:rPr>
            <w:rStyle w:val="Hyperlink"/>
          </w:rPr>
          <w:t>https://www.ndisreview.gov.au/sites/default/files/resource/download/working-together-ndis-review-final-report.pdf</w:t>
        </w:r>
      </w:hyperlink>
      <w:r w:rsidR="00DC09B5" w:rsidRPr="003E5F47">
        <w:t>.</w:t>
      </w:r>
    </w:p>
  </w:footnote>
  <w:footnote w:id="20">
    <w:p w14:paraId="21FEF110" w14:textId="06556063" w:rsidR="00486E7F" w:rsidRPr="00A322DD" w:rsidRDefault="00486E7F" w:rsidP="00486E7F">
      <w:pPr>
        <w:pStyle w:val="FootnoteText"/>
        <w:rPr>
          <w:lang w:val="en-US"/>
        </w:rPr>
      </w:pPr>
      <w:r>
        <w:rPr>
          <w:rStyle w:val="FootnoteReference"/>
        </w:rPr>
        <w:footnoteRef/>
      </w:r>
      <w:r>
        <w:t xml:space="preserve"> </w:t>
      </w:r>
      <w:r w:rsidR="00DC09B5" w:rsidRPr="000208F4">
        <w:rPr>
          <w:i/>
          <w:iCs/>
        </w:rPr>
        <w:t>Ibid</w:t>
      </w:r>
      <w:r w:rsidR="000208F4">
        <w:t xml:space="preserve">, </w:t>
      </w:r>
      <w:r w:rsidRPr="000208F4">
        <w:t>p</w:t>
      </w:r>
      <w:r>
        <w:t>.261</w:t>
      </w:r>
      <w:r w:rsidR="000208F4">
        <w:t>.</w:t>
      </w:r>
    </w:p>
  </w:footnote>
  <w:footnote w:id="21">
    <w:p w14:paraId="7863F4D3" w14:textId="77777777" w:rsidR="00760D48" w:rsidRPr="008D15A0" w:rsidRDefault="00760D48" w:rsidP="00760D48">
      <w:pPr>
        <w:pStyle w:val="FootnoteText"/>
        <w:rPr>
          <w:lang w:val="en-US"/>
        </w:rPr>
      </w:pPr>
      <w:r>
        <w:rPr>
          <w:rStyle w:val="FootnoteReference"/>
        </w:rPr>
        <w:footnoteRef/>
      </w:r>
      <w:r>
        <w:t xml:space="preserve"> </w:t>
      </w:r>
      <w:r w:rsidRPr="008D15A0">
        <w:t xml:space="preserve">Productivity Commission, ‘Disability Care and Support,’ Report no.54, 2011, p.694, available at </w:t>
      </w:r>
      <w:hyperlink r:id="rId14" w:history="1">
        <w:r w:rsidRPr="008168CF">
          <w:rPr>
            <w:rStyle w:val="Hyperlink"/>
          </w:rPr>
          <w:t>https://www.pc.gov.au/inquiries/completed/disability-support/report</w:t>
        </w:r>
      </w:hyperlink>
      <w:r>
        <w:t>.</w:t>
      </w:r>
      <w:r w:rsidRPr="008D15A0">
        <w:t xml:space="preserve">  </w:t>
      </w:r>
    </w:p>
  </w:footnote>
  <w:footnote w:id="22">
    <w:p w14:paraId="2DB43166" w14:textId="53ACE33F" w:rsidR="00760D48" w:rsidRPr="00844EEF" w:rsidRDefault="00760D48" w:rsidP="00760D48">
      <w:pPr>
        <w:pStyle w:val="FootnoteText"/>
        <w:rPr>
          <w:lang w:val="en-US"/>
        </w:rPr>
      </w:pPr>
      <w:r>
        <w:rPr>
          <w:rStyle w:val="FootnoteReference"/>
        </w:rPr>
        <w:footnoteRef/>
      </w:r>
      <w:r>
        <w:t xml:space="preserve"> </w:t>
      </w:r>
      <w:r w:rsidRPr="00844EEF">
        <w:t xml:space="preserve">Department of Social Services, ‘NDIS National Workforce Plan: 2021-2025’, June 2021, p.5, available </w:t>
      </w:r>
      <w:r w:rsidRPr="00844EEF">
        <w:t xml:space="preserve">at </w:t>
      </w:r>
      <w:hyperlink r:id="rId15" w:history="1">
        <w:r w:rsidRPr="008168CF">
          <w:rPr>
            <w:rStyle w:val="Hyperlink"/>
          </w:rPr>
          <w:t>https://www.dss.gov.au/sites/default/files/documents/06_2021/ndis-national-workforce-plan-2021-2025.pdf</w:t>
        </w:r>
      </w:hyperlink>
      <w:r>
        <w:t>;</w:t>
      </w:r>
      <w:r w:rsidR="00DB16E9">
        <w:t xml:space="preserve"> </w:t>
      </w:r>
      <w:r w:rsidRPr="00844EEF">
        <w:t xml:space="preserve">see also NDIS Quality and Safeguards Commission, ‘NDIS Workforce Capability Framework’, available at </w:t>
      </w:r>
      <w:hyperlink r:id="rId16" w:history="1">
        <w:r w:rsidRPr="008168CF">
          <w:rPr>
            <w:rStyle w:val="Hyperlink"/>
          </w:rPr>
          <w:t>https://workforcecapability.ndiscommission.gov.au/</w:t>
        </w:r>
      </w:hyperlink>
      <w:r>
        <w:t xml:space="preserve">. </w:t>
      </w:r>
      <w:r w:rsidRPr="00844EEF">
        <w:t xml:space="preserve">  </w:t>
      </w:r>
    </w:p>
  </w:footnote>
  <w:footnote w:id="23">
    <w:p w14:paraId="74D7DB83" w14:textId="77777777" w:rsidR="00760D48" w:rsidRPr="007E54CA" w:rsidRDefault="00760D48" w:rsidP="00760D48">
      <w:pPr>
        <w:pStyle w:val="FootnoteText"/>
        <w:rPr>
          <w:lang w:val="en-US"/>
        </w:rPr>
      </w:pPr>
      <w:r>
        <w:rPr>
          <w:rStyle w:val="FootnoteReference"/>
        </w:rPr>
        <w:footnoteRef/>
      </w:r>
      <w:r>
        <w:t xml:space="preserve"> </w:t>
      </w:r>
      <w:r w:rsidRPr="007E54CA">
        <w:t xml:space="preserve">NDIS Review, ‘Building a more responsive and supportive workforce’, May 2023, pp.2&amp;6, available at </w:t>
      </w:r>
      <w:hyperlink r:id="rId17" w:history="1">
        <w:r w:rsidRPr="008168CF">
          <w:rPr>
            <w:rStyle w:val="Hyperlink"/>
          </w:rPr>
          <w:t>https://www.ndisreview.gov.au/resources/paper/building-more-responsive-and-supportive-workforce</w:t>
        </w:r>
      </w:hyperlink>
      <w:r>
        <w:t>.</w:t>
      </w:r>
      <w:r w:rsidRPr="007E54CA">
        <w:t xml:space="preserve">  </w:t>
      </w:r>
    </w:p>
  </w:footnote>
  <w:footnote w:id="24">
    <w:p w14:paraId="180D190B" w14:textId="5CDF2460" w:rsidR="00760D48" w:rsidRPr="00257DD8" w:rsidRDefault="00760D48" w:rsidP="00760D48">
      <w:pPr>
        <w:pStyle w:val="FootnoteText"/>
        <w:rPr>
          <w:lang w:val="en-US"/>
        </w:rPr>
      </w:pPr>
      <w:r>
        <w:rPr>
          <w:rStyle w:val="FootnoteReference"/>
        </w:rPr>
        <w:footnoteRef/>
      </w:r>
      <w:r>
        <w:t xml:space="preserve"> </w:t>
      </w:r>
      <w:r w:rsidRPr="007851CF">
        <w:rPr>
          <w:i/>
          <w:iCs/>
          <w:lang w:val="en-US"/>
        </w:rPr>
        <w:t>Ibid</w:t>
      </w:r>
      <w:r>
        <w:rPr>
          <w:lang w:val="en-US"/>
        </w:rPr>
        <w:t xml:space="preserve">. </w:t>
      </w:r>
    </w:p>
  </w:footnote>
  <w:footnote w:id="25">
    <w:p w14:paraId="49867690" w14:textId="50ADB260" w:rsidR="00760D48" w:rsidRPr="00472B57" w:rsidRDefault="00760D48" w:rsidP="00760D48">
      <w:pPr>
        <w:pStyle w:val="FootnoteText"/>
        <w:rPr>
          <w:lang w:val="en-US"/>
        </w:rPr>
      </w:pPr>
      <w:r>
        <w:rPr>
          <w:rStyle w:val="FootnoteReference"/>
        </w:rPr>
        <w:footnoteRef/>
      </w:r>
      <w:r>
        <w:t xml:space="preserve"> </w:t>
      </w:r>
      <w:r w:rsidR="007851CF" w:rsidRPr="003E5F47">
        <w:t>NDIS Review, ‘Final Report: Working together to deliver the NDIS’, 2023, p</w:t>
      </w:r>
      <w:r w:rsidR="007851CF">
        <w:t>.196</w:t>
      </w:r>
      <w:r w:rsidR="007851CF" w:rsidRPr="003E5F47">
        <w:t xml:space="preserve">, available at </w:t>
      </w:r>
      <w:hyperlink r:id="rId18" w:history="1">
        <w:r w:rsidR="007851CF" w:rsidRPr="00C032DC">
          <w:rPr>
            <w:rStyle w:val="Hyperlink"/>
          </w:rPr>
          <w:t>https://www.ndisreview.gov.au/sites/default/files/resource/download/working-together-ndis-review-final-report.pdf</w:t>
        </w:r>
      </w:hyperlink>
      <w:r w:rsidR="007851CF" w:rsidRPr="003E5F47">
        <w:t>.</w:t>
      </w:r>
    </w:p>
  </w:footnote>
  <w:footnote w:id="26">
    <w:p w14:paraId="1C94364D" w14:textId="0E743024" w:rsidR="00AD474F" w:rsidRDefault="00AD474F" w:rsidP="00AD474F">
      <w:pPr>
        <w:pStyle w:val="FootnoteText"/>
      </w:pPr>
      <w:r>
        <w:rPr>
          <w:rStyle w:val="FootnoteReference"/>
        </w:rPr>
        <w:footnoteRef/>
      </w:r>
      <w:r w:rsidR="00235300">
        <w:rPr>
          <w:i/>
          <w:iCs/>
        </w:rPr>
        <w:t>Ibid</w:t>
      </w:r>
      <w:r w:rsidR="00235300">
        <w:t>,</w:t>
      </w:r>
      <w:r w:rsidR="00E26D58">
        <w:t xml:space="preserve"> p.47.</w:t>
      </w:r>
    </w:p>
  </w:footnote>
  <w:footnote w:id="27">
    <w:p w14:paraId="7F2BE2CE" w14:textId="7A4BAE55" w:rsidR="00F00469" w:rsidRPr="00F00469" w:rsidRDefault="00F00469">
      <w:pPr>
        <w:pStyle w:val="FootnoteText"/>
        <w:rPr>
          <w:lang w:val="en-US"/>
        </w:rPr>
      </w:pPr>
      <w:r>
        <w:rPr>
          <w:rStyle w:val="FootnoteReference"/>
        </w:rPr>
        <w:footnoteRef/>
      </w:r>
      <w:r>
        <w:t xml:space="preserve"> </w:t>
      </w:r>
      <w:r w:rsidR="00235300" w:rsidRPr="00235300">
        <w:t>Ibid</w:t>
      </w:r>
      <w:r w:rsidR="00235300">
        <w:t xml:space="preserve">, </w:t>
      </w:r>
      <w:r w:rsidR="003D5BB4" w:rsidRPr="00235300">
        <w:t>p</w:t>
      </w:r>
      <w:r w:rsidR="003D5BB4">
        <w:t>.</w:t>
      </w:r>
      <w:r w:rsidR="003B2DE6">
        <w:rPr>
          <w:lang w:val="en-US"/>
        </w:rPr>
        <w:t xml:space="preserve">29. </w:t>
      </w:r>
    </w:p>
  </w:footnote>
  <w:footnote w:id="28">
    <w:p w14:paraId="75B6E351" w14:textId="0704D606" w:rsidR="00BD07F1" w:rsidRPr="00BD7CC7" w:rsidRDefault="00BD07F1">
      <w:pPr>
        <w:pStyle w:val="FootnoteText"/>
      </w:pPr>
      <w:r>
        <w:rPr>
          <w:rStyle w:val="FootnoteReference"/>
        </w:rPr>
        <w:footnoteRef/>
      </w:r>
      <w:r>
        <w:t xml:space="preserve"> </w:t>
      </w:r>
      <w:r w:rsidR="00E774EF" w:rsidRPr="00E774EF">
        <w:t xml:space="preserve">Productivity Commission, ‘Disability Care and Support,’ Report no.54, 2011, p.416, available at </w:t>
      </w:r>
      <w:hyperlink r:id="rId19" w:history="1">
        <w:r w:rsidR="00BD7CC7" w:rsidRPr="00A3739A">
          <w:rPr>
            <w:rStyle w:val="Hyperlink"/>
          </w:rPr>
          <w:t>https://www.pc.gov.au/inquiries/completed/disability-support/report</w:t>
        </w:r>
      </w:hyperlink>
      <w:r w:rsidR="00BD7CC7">
        <w:t>.</w:t>
      </w:r>
      <w:r w:rsidR="00E774EF" w:rsidRPr="00E774EF">
        <w:t xml:space="preserve">  </w:t>
      </w:r>
    </w:p>
  </w:footnote>
  <w:footnote w:id="29">
    <w:p w14:paraId="0EC717C8" w14:textId="1EFD2441" w:rsidR="00E774EF" w:rsidRPr="00E774EF" w:rsidRDefault="00E774EF">
      <w:pPr>
        <w:pStyle w:val="FootnoteText"/>
        <w:rPr>
          <w:lang w:val="en-US"/>
        </w:rPr>
      </w:pPr>
      <w:r>
        <w:rPr>
          <w:rStyle w:val="FootnoteReference"/>
        </w:rPr>
        <w:footnoteRef/>
      </w:r>
      <w:r>
        <w:t xml:space="preserve"> </w:t>
      </w:r>
      <w:r w:rsidR="00D46BC8" w:rsidRPr="00D46BC8">
        <w:t xml:space="preserve">JFA Purple Orange, ‘The DSO Project: a summary of activities and impact in support of the NDIS participant voice’, Disability Support Organisation Capacity Building Initiative, 2016, hard copy; and JFA Purple Orange, ‘About pre-planning: An advisory report to the National Disability Insurance Agency (NDIA) on how people can best be assisted to prepare for the NDIS’, Disability Support Organisation Capacity Building Initiative, 2015, hard copy.  </w:t>
      </w:r>
    </w:p>
  </w:footnote>
  <w:footnote w:id="30">
    <w:p w14:paraId="2E8652AE" w14:textId="04636D8F" w:rsidR="00690DB9" w:rsidRPr="0014087A" w:rsidRDefault="00690DB9" w:rsidP="00690DB9">
      <w:pPr>
        <w:pStyle w:val="FootnoteText"/>
        <w:rPr>
          <w:lang w:val="en-US"/>
        </w:rPr>
      </w:pPr>
      <w:r>
        <w:rPr>
          <w:rStyle w:val="FootnoteReference"/>
        </w:rPr>
        <w:footnoteRef/>
      </w:r>
      <w:r>
        <w:t xml:space="preserve"> </w:t>
      </w:r>
      <w:r w:rsidR="00FC5130" w:rsidRPr="003E5F47">
        <w:t>NDIS Review, ‘Final Report: Working together to deliver the NDIS’, 2023, p</w:t>
      </w:r>
      <w:r w:rsidR="00FC5130">
        <w:t>.19</w:t>
      </w:r>
      <w:r w:rsidR="00FC5130" w:rsidRPr="003E5F47">
        <w:t xml:space="preserve">, available at </w:t>
      </w:r>
      <w:hyperlink r:id="rId20" w:history="1">
        <w:r w:rsidR="00FC5130" w:rsidRPr="00C032DC">
          <w:rPr>
            <w:rStyle w:val="Hyperlink"/>
          </w:rPr>
          <w:t>https://www.ndisreview.gov.au/sites/default/files/resource/download/working-together-ndis-review-final-report.pdf</w:t>
        </w:r>
      </w:hyperlink>
      <w:r w:rsidR="00FC5130" w:rsidRPr="003E5F47">
        <w:t>.</w:t>
      </w:r>
    </w:p>
  </w:footnote>
  <w:footnote w:id="31">
    <w:p w14:paraId="3C77F1CF" w14:textId="49EFF135" w:rsidR="00A93562" w:rsidRDefault="00A93562" w:rsidP="00A93562">
      <w:pPr>
        <w:pStyle w:val="FootnoteText"/>
      </w:pPr>
      <w:r>
        <w:rPr>
          <w:rStyle w:val="FootnoteReference"/>
        </w:rPr>
        <w:footnoteRef/>
      </w:r>
      <w:r>
        <w:t xml:space="preserve"> Bhabha, F. Advancing Disability Equality Through Supported Decision-Making: The CRPD and the </w:t>
      </w:r>
    </w:p>
    <w:p w14:paraId="60846A9D" w14:textId="77777777" w:rsidR="00A93562" w:rsidRPr="003359BE" w:rsidRDefault="00A93562" w:rsidP="00A93562">
      <w:pPr>
        <w:pStyle w:val="FootnoteText"/>
        <w:rPr>
          <w:i/>
          <w:iCs/>
        </w:rPr>
      </w:pPr>
      <w:r>
        <w:t xml:space="preserve">Canadian Constitution. In M. Stein, F. Mahomed, V. Patel, &amp; C. Sunkel (Eds.), </w:t>
      </w:r>
      <w:r w:rsidRPr="003359BE">
        <w:rPr>
          <w:i/>
          <w:iCs/>
        </w:rPr>
        <w:t xml:space="preserve">Mental Health, Legal Capacity, </w:t>
      </w:r>
    </w:p>
    <w:p w14:paraId="52FAEFC3" w14:textId="3269C4AC" w:rsidR="00A93562" w:rsidRPr="004A78C2" w:rsidRDefault="00A93562" w:rsidP="00A93562">
      <w:pPr>
        <w:pStyle w:val="FootnoteText"/>
        <w:rPr>
          <w:lang w:val="en-US"/>
        </w:rPr>
      </w:pPr>
      <w:r w:rsidRPr="003359BE">
        <w:rPr>
          <w:i/>
          <w:iCs/>
        </w:rPr>
        <w:t>and Human Rights</w:t>
      </w:r>
      <w:r w:rsidR="00E23D61">
        <w:t xml:space="preserve">, 2021, </w:t>
      </w:r>
      <w:r>
        <w:t>Cambridge: Cambridge University Press</w:t>
      </w:r>
      <w:r w:rsidR="00D94E3B">
        <w:t>,</w:t>
      </w:r>
      <w:r w:rsidR="00E23D61">
        <w:t xml:space="preserve"> pp. 140-154</w:t>
      </w:r>
      <w:r w:rsidR="00D94E3B">
        <w:t>.</w:t>
      </w:r>
    </w:p>
  </w:footnote>
  <w:footnote w:id="32">
    <w:p w14:paraId="7FCCE6CD" w14:textId="7A9A917F" w:rsidR="00A93562" w:rsidRPr="0046195D" w:rsidRDefault="00A93562" w:rsidP="00A93562">
      <w:pPr>
        <w:pStyle w:val="FootnoteText"/>
        <w:rPr>
          <w:lang w:val="en-US"/>
        </w:rPr>
      </w:pPr>
      <w:r>
        <w:rPr>
          <w:rStyle w:val="FootnoteReference"/>
        </w:rPr>
        <w:footnoteRef/>
      </w:r>
      <w:r>
        <w:t xml:space="preserve"> </w:t>
      </w:r>
      <w:r w:rsidRPr="008C0BEE">
        <w:rPr>
          <w:lang w:val="en-US"/>
        </w:rPr>
        <w:t xml:space="preserve">Royal Commission </w:t>
      </w:r>
      <w:r w:rsidR="00BE36AF">
        <w:rPr>
          <w:lang w:val="en-US"/>
        </w:rPr>
        <w:t>i</w:t>
      </w:r>
      <w:r w:rsidRPr="008C0BEE">
        <w:rPr>
          <w:lang w:val="en-US"/>
        </w:rPr>
        <w:t>nto Violence, Abuse, Neglect and Exploitation, Final Report, ‘Enabling Autonomy and Access’</w:t>
      </w:r>
      <w:r w:rsidR="00E23D61">
        <w:rPr>
          <w:lang w:val="en-US"/>
        </w:rPr>
        <w:t>,</w:t>
      </w:r>
      <w:r w:rsidRPr="008C0BEE">
        <w:rPr>
          <w:lang w:val="en-US"/>
        </w:rPr>
        <w:t xml:space="preserve"> September 2023</w:t>
      </w:r>
      <w:r w:rsidR="00D94E3B">
        <w:rPr>
          <w:lang w:val="en-US"/>
        </w:rPr>
        <w:t>,</w:t>
      </w:r>
      <w:r>
        <w:rPr>
          <w:lang w:val="en-US"/>
        </w:rPr>
        <w:t xml:space="preserve"> Recommendation 6.13</w:t>
      </w:r>
      <w:r w:rsidR="00D94E3B">
        <w:rPr>
          <w:lang w:val="en-US"/>
        </w:rPr>
        <w:t xml:space="preserve">, available at </w:t>
      </w:r>
      <w:hyperlink r:id="rId21" w:history="1">
        <w:r w:rsidR="00BD07C8" w:rsidRPr="00C032DC">
          <w:rPr>
            <w:rStyle w:val="Hyperlink"/>
            <w:lang w:val="en-US"/>
          </w:rPr>
          <w:t>https://disability.royalcommission.gov.au/</w:t>
        </w:r>
        <w:r w:rsidR="00BD07C8">
          <w:rPr>
            <w:rStyle w:val="Hyperlink"/>
            <w:lang w:val="en-US"/>
          </w:rPr>
          <w:t>‌</w:t>
        </w:r>
        <w:r w:rsidR="00BD07C8" w:rsidRPr="00C032DC">
          <w:rPr>
            <w:rStyle w:val="Hyperlink"/>
            <w:lang w:val="en-US"/>
          </w:rPr>
          <w:t>publications/final-report</w:t>
        </w:r>
      </w:hyperlink>
      <w:r w:rsidR="00BD07C8">
        <w:rPr>
          <w:lang w:val="en-US"/>
        </w:rPr>
        <w:t xml:space="preserve">. </w:t>
      </w:r>
    </w:p>
  </w:footnote>
  <w:footnote w:id="33">
    <w:p w14:paraId="7E06541E" w14:textId="3371A3AA" w:rsidR="008567A8" w:rsidRPr="008567A8" w:rsidRDefault="008567A8">
      <w:pPr>
        <w:pStyle w:val="FootnoteText"/>
        <w:rPr>
          <w:lang w:val="en-US"/>
        </w:rPr>
      </w:pPr>
      <w:r>
        <w:rPr>
          <w:rStyle w:val="FootnoteReference"/>
        </w:rPr>
        <w:footnoteRef/>
      </w:r>
      <w:r>
        <w:t xml:space="preserve"> </w:t>
      </w:r>
      <w:r w:rsidR="003359BE" w:rsidRPr="003E5F47">
        <w:t>NDIS Review, ‘Final Report: Working together to deliver the NDIS’, 2023, p</w:t>
      </w:r>
      <w:r w:rsidR="003359BE">
        <w:t>.105</w:t>
      </w:r>
      <w:r w:rsidR="003359BE" w:rsidRPr="003E5F47">
        <w:t xml:space="preserve">, available at </w:t>
      </w:r>
      <w:hyperlink r:id="rId22" w:history="1">
        <w:r w:rsidR="003359BE" w:rsidRPr="00C032DC">
          <w:rPr>
            <w:rStyle w:val="Hyperlink"/>
          </w:rPr>
          <w:t>https://www.ndisreview.gov.au/sites/default/files/resource/download/working-together-ndis-review-final-report.pdf</w:t>
        </w:r>
      </w:hyperlink>
      <w:r w:rsidR="003359BE" w:rsidRPr="003E5F47">
        <w:t>.</w:t>
      </w:r>
    </w:p>
  </w:footnote>
  <w:footnote w:id="34">
    <w:p w14:paraId="0D14841C" w14:textId="6903CA88" w:rsidR="0089025C" w:rsidRPr="0037126B" w:rsidRDefault="0089025C">
      <w:pPr>
        <w:pStyle w:val="FootnoteText"/>
      </w:pPr>
      <w:r>
        <w:rPr>
          <w:rStyle w:val="FootnoteReference"/>
        </w:rPr>
        <w:footnoteRef/>
      </w:r>
      <w:r>
        <w:t xml:space="preserve"> </w:t>
      </w:r>
      <w:r w:rsidRPr="0089025C">
        <w:t xml:space="preserve">For example, see Australian Government, ‘Employ my ability’, 2 December 2021, p.11, available at https://www.dss.gov.au/employ-my-ability; Australian Network on Disability, ‘Business benefits of employing people with disability’, 2021, available at </w:t>
      </w:r>
      <w:hyperlink r:id="rId23" w:history="1">
        <w:r w:rsidR="00D351CA" w:rsidRPr="008168CF">
          <w:rPr>
            <w:rStyle w:val="Hyperlink"/>
          </w:rPr>
          <w:t>https://and.org.au/join-us/why-hire-people-with-adisability/benefits</w:t>
        </w:r>
      </w:hyperlink>
      <w:r w:rsidR="00F6422E">
        <w:t>;</w:t>
      </w:r>
      <w:r w:rsidR="0037126B">
        <w:t xml:space="preserve"> </w:t>
      </w:r>
      <w:r w:rsidRPr="0089025C">
        <w:t xml:space="preserve">and Job Access, ‘New research review shows employers reap clear benefits by hiring people with disability’, 14 March 2023, available at </w:t>
      </w:r>
      <w:hyperlink r:id="rId24" w:history="1">
        <w:r w:rsidR="00C37A24" w:rsidRPr="00A3739A">
          <w:rPr>
            <w:rStyle w:val="Hyperlink"/>
          </w:rPr>
          <w:t>https://www.jobaccess.gov.au/news-media/australian-employers-undisputed-rewards-hiring-people/</w:t>
        </w:r>
      </w:hyperlink>
      <w:r w:rsidR="00C37A24">
        <w:t>.</w:t>
      </w:r>
    </w:p>
  </w:footnote>
  <w:footnote w:id="35">
    <w:p w14:paraId="73B5E8C4" w14:textId="59038F3B" w:rsidR="00F05DD1" w:rsidRPr="00636E53" w:rsidRDefault="00F05DD1">
      <w:pPr>
        <w:pStyle w:val="FootnoteText"/>
      </w:pPr>
      <w:r>
        <w:rPr>
          <w:rStyle w:val="FootnoteReference"/>
        </w:rPr>
        <w:footnoteRef/>
      </w:r>
      <w:r>
        <w:t xml:space="preserve"> </w:t>
      </w:r>
      <w:r w:rsidRPr="00F05DD1">
        <w:t xml:space="preserve">See Victorian Government. (2018). ‘Getting to work: </w:t>
      </w:r>
      <w:r w:rsidRPr="00F05DD1">
        <w:rPr>
          <w:rFonts w:ascii="Tahoma" w:hAnsi="Tahoma" w:cs="Tahoma"/>
        </w:rPr>
        <w:t>⁠</w:t>
      </w:r>
      <w:r w:rsidRPr="00F05DD1">
        <w:t xml:space="preserve">Victorian public sector disability employment action plan 2018 – 2025’. Accessed 6 April 2023: </w:t>
      </w:r>
      <w:hyperlink r:id="rId25" w:history="1">
        <w:r w:rsidRPr="00DB179B">
          <w:rPr>
            <w:rStyle w:val="Hyperlink"/>
          </w:rPr>
          <w:t>https://vpsc.vic.gov.au/workforce-programs/disability-employment/public-sector-action-plan/</w:t>
        </w:r>
      </w:hyperlink>
      <w:r>
        <w:t>.</w:t>
      </w:r>
    </w:p>
  </w:footnote>
  <w:footnote w:id="36">
    <w:p w14:paraId="0D62354B" w14:textId="5516B0FB" w:rsidR="00820E15" w:rsidRPr="00820E15" w:rsidRDefault="00820E15">
      <w:pPr>
        <w:pStyle w:val="FootnoteText"/>
        <w:rPr>
          <w:lang w:val="en-US"/>
        </w:rPr>
      </w:pPr>
      <w:r>
        <w:rPr>
          <w:rStyle w:val="FootnoteReference"/>
        </w:rPr>
        <w:footnoteRef/>
      </w:r>
      <w:r>
        <w:t xml:space="preserve"> </w:t>
      </w:r>
      <w:r w:rsidR="00E11953" w:rsidRPr="008C0BEE">
        <w:rPr>
          <w:lang w:val="en-US"/>
        </w:rPr>
        <w:t xml:space="preserve">Royal Commission </w:t>
      </w:r>
      <w:r w:rsidR="00237839">
        <w:rPr>
          <w:lang w:val="en-US"/>
        </w:rPr>
        <w:t>i</w:t>
      </w:r>
      <w:r w:rsidR="00E11953" w:rsidRPr="008C0BEE">
        <w:rPr>
          <w:lang w:val="en-US"/>
        </w:rPr>
        <w:t>nto Violence, Abuse, Neglect and Exploitation, Final Report, ‘</w:t>
      </w:r>
      <w:r w:rsidR="00C264A0">
        <w:rPr>
          <w:lang w:val="en-US"/>
        </w:rPr>
        <w:t>Inclusive Employment</w:t>
      </w:r>
      <w:r w:rsidR="00E11953" w:rsidRPr="008C0BEE">
        <w:rPr>
          <w:lang w:val="en-US"/>
        </w:rPr>
        <w:t xml:space="preserve">’ </w:t>
      </w:r>
      <w:r w:rsidR="003B0408">
        <w:rPr>
          <w:lang w:val="en-US"/>
        </w:rPr>
        <w:t>,</w:t>
      </w:r>
      <w:r w:rsidR="003B0408" w:rsidRPr="008C0BEE">
        <w:rPr>
          <w:lang w:val="en-US"/>
        </w:rPr>
        <w:t xml:space="preserve"> September 2023</w:t>
      </w:r>
      <w:r w:rsidR="003B0408">
        <w:rPr>
          <w:lang w:val="en-US"/>
        </w:rPr>
        <w:t xml:space="preserve">, p.423, available at </w:t>
      </w:r>
      <w:hyperlink r:id="rId26" w:history="1">
        <w:r w:rsidR="003B0408" w:rsidRPr="00C032DC">
          <w:rPr>
            <w:rStyle w:val="Hyperlink"/>
            <w:lang w:val="en-US"/>
          </w:rPr>
          <w:t>https://disability.royalcommission.gov.au/</w:t>
        </w:r>
        <w:r w:rsidR="003B0408">
          <w:rPr>
            <w:rStyle w:val="Hyperlink"/>
            <w:lang w:val="en-US"/>
          </w:rPr>
          <w:t>‌</w:t>
        </w:r>
        <w:r w:rsidR="003B0408" w:rsidRPr="00C032DC">
          <w:rPr>
            <w:rStyle w:val="Hyperlink"/>
            <w:lang w:val="en-US"/>
          </w:rPr>
          <w:t>publications/final-report</w:t>
        </w:r>
      </w:hyperlink>
      <w:r w:rsidR="003B0408">
        <w:rPr>
          <w:lang w:val="en-US"/>
        </w:rPr>
        <w:t xml:space="preserve">. </w:t>
      </w:r>
    </w:p>
  </w:footnote>
  <w:footnote w:id="37">
    <w:p w14:paraId="61498F51" w14:textId="4FDE59DC" w:rsidR="0079743E" w:rsidRPr="005640A3" w:rsidRDefault="0079743E" w:rsidP="0079743E">
      <w:pPr>
        <w:pStyle w:val="FootnoteText"/>
        <w:rPr>
          <w:lang w:val="en-US"/>
        </w:rPr>
      </w:pPr>
      <w:r>
        <w:rPr>
          <w:rStyle w:val="FootnoteReference"/>
        </w:rPr>
        <w:footnoteRef/>
      </w:r>
      <w:r>
        <w:t xml:space="preserve"> </w:t>
      </w:r>
      <w:r w:rsidRPr="008C0BEE">
        <w:rPr>
          <w:lang w:val="en-US"/>
        </w:rPr>
        <w:t xml:space="preserve">Royal Commission </w:t>
      </w:r>
      <w:r w:rsidR="000411D9">
        <w:rPr>
          <w:lang w:val="en-US"/>
        </w:rPr>
        <w:t>i</w:t>
      </w:r>
      <w:r w:rsidRPr="008C0BEE">
        <w:rPr>
          <w:lang w:val="en-US"/>
        </w:rPr>
        <w:t>nto Violence, Abuse, Neglect and Exploitation, Final Report, ‘</w:t>
      </w:r>
      <w:r>
        <w:rPr>
          <w:lang w:val="en-US"/>
        </w:rPr>
        <w:t>Realising the Human Rights of People with Disability</w:t>
      </w:r>
      <w:r w:rsidRPr="008C0BEE">
        <w:rPr>
          <w:lang w:val="en-US"/>
        </w:rPr>
        <w:t>’</w:t>
      </w:r>
      <w:r w:rsidR="003B0408">
        <w:rPr>
          <w:lang w:val="en-US"/>
        </w:rPr>
        <w:t>,</w:t>
      </w:r>
      <w:r w:rsidR="003B0408" w:rsidRPr="008C0BEE">
        <w:rPr>
          <w:lang w:val="en-US"/>
        </w:rPr>
        <w:t xml:space="preserve"> September 2023</w:t>
      </w:r>
      <w:r w:rsidR="003B0408">
        <w:rPr>
          <w:lang w:val="en-US"/>
        </w:rPr>
        <w:t xml:space="preserve">, p.121, available at </w:t>
      </w:r>
      <w:hyperlink r:id="rId27" w:history="1">
        <w:r w:rsidR="003B0408" w:rsidRPr="00C032DC">
          <w:rPr>
            <w:rStyle w:val="Hyperlink"/>
            <w:lang w:val="en-US"/>
          </w:rPr>
          <w:t>https://disability.royalcommission.gov.au/</w:t>
        </w:r>
        <w:r w:rsidR="003B0408">
          <w:rPr>
            <w:rStyle w:val="Hyperlink"/>
            <w:lang w:val="en-US"/>
          </w:rPr>
          <w:t>‌</w:t>
        </w:r>
        <w:r w:rsidR="003B0408" w:rsidRPr="00C032DC">
          <w:rPr>
            <w:rStyle w:val="Hyperlink"/>
            <w:lang w:val="en-US"/>
          </w:rPr>
          <w:t>publications/final-report</w:t>
        </w:r>
      </w:hyperlink>
      <w:r w:rsidR="003B0408">
        <w:rPr>
          <w:lang w:val="en-US"/>
        </w:rPr>
        <w:t xml:space="preserve">. </w:t>
      </w:r>
    </w:p>
  </w:footnote>
  <w:footnote w:id="38">
    <w:p w14:paraId="5E0BFE20" w14:textId="4825C7C7" w:rsidR="0079743E" w:rsidRPr="00B646D5" w:rsidRDefault="0079743E" w:rsidP="0079743E">
      <w:pPr>
        <w:pStyle w:val="FootnoteText"/>
        <w:rPr>
          <w:lang w:val="en-US"/>
        </w:rPr>
      </w:pPr>
      <w:r>
        <w:rPr>
          <w:rStyle w:val="FootnoteReference"/>
        </w:rPr>
        <w:footnoteRef/>
      </w:r>
      <w:r>
        <w:t xml:space="preserve"> </w:t>
      </w:r>
      <w:r w:rsidRPr="003B0408">
        <w:rPr>
          <w:i/>
          <w:iCs/>
          <w:lang w:val="en-US"/>
        </w:rPr>
        <w:t>Ibid</w:t>
      </w:r>
      <w:r w:rsidR="003B0408">
        <w:rPr>
          <w:lang w:val="en-US"/>
        </w:rPr>
        <w:t>,</w:t>
      </w:r>
      <w:r>
        <w:rPr>
          <w:lang w:val="en-US"/>
        </w:rPr>
        <w:t xml:space="preserve"> </w:t>
      </w:r>
      <w:r w:rsidR="00C064AE">
        <w:rPr>
          <w:lang w:val="en-US"/>
        </w:rPr>
        <w:t>p.</w:t>
      </w:r>
      <w:r>
        <w:rPr>
          <w:lang w:val="en-US"/>
        </w:rPr>
        <w:t>126.</w:t>
      </w:r>
    </w:p>
  </w:footnote>
  <w:footnote w:id="39">
    <w:p w14:paraId="7A3C9740" w14:textId="34B9E138" w:rsidR="00D644DB" w:rsidRPr="00D644DB" w:rsidRDefault="00D644DB">
      <w:pPr>
        <w:pStyle w:val="FootnoteText"/>
        <w:rPr>
          <w:lang w:val="en-US"/>
        </w:rPr>
      </w:pPr>
      <w:r>
        <w:rPr>
          <w:rStyle w:val="FootnoteReference"/>
        </w:rPr>
        <w:footnoteRef/>
      </w:r>
      <w:r>
        <w:t xml:space="preserve"> </w:t>
      </w:r>
      <w:r w:rsidR="006E48E4" w:rsidRPr="006E48E4">
        <w:t>Commonwealth of Australia, Department of the Prime Minister and Cabinet Working together to deliver the NDIS. NDIS Review: final report</w:t>
      </w:r>
      <w:r w:rsidR="006E48E4">
        <w:t xml:space="preserve"> p.</w:t>
      </w:r>
      <w:r w:rsidR="001603ED">
        <w:rPr>
          <w:lang w:val="en-US"/>
        </w:rPr>
        <w:t xml:space="preserve"> 47</w:t>
      </w:r>
      <w:r w:rsidR="006E48E4">
        <w:rPr>
          <w:lang w:val="en-US"/>
        </w:rPr>
        <w:t>.</w:t>
      </w:r>
    </w:p>
  </w:footnote>
  <w:footnote w:id="40">
    <w:p w14:paraId="1BD57D69" w14:textId="0CD3C287" w:rsidR="00032A83" w:rsidRPr="00032A83" w:rsidRDefault="00032A83">
      <w:pPr>
        <w:pStyle w:val="FootnoteText"/>
        <w:rPr>
          <w:lang w:val="en-GB"/>
        </w:rPr>
      </w:pPr>
      <w:r>
        <w:rPr>
          <w:rStyle w:val="FootnoteReference"/>
        </w:rPr>
        <w:footnoteRef/>
      </w:r>
      <w:r>
        <w:t xml:space="preserve"> </w:t>
      </w:r>
      <w:r>
        <w:rPr>
          <w:lang w:val="en-GB"/>
        </w:rPr>
        <w:t>See page 9.</w:t>
      </w:r>
    </w:p>
  </w:footnote>
  <w:footnote w:id="41">
    <w:p w14:paraId="2C17F73C" w14:textId="3EEF32C5" w:rsidR="009706AB" w:rsidRPr="00A86AC9" w:rsidRDefault="00A86AC9">
      <w:pPr>
        <w:pStyle w:val="FootnoteText"/>
        <w:rPr>
          <w:lang w:val="en-US"/>
        </w:rPr>
      </w:pPr>
      <w:r>
        <w:rPr>
          <w:rStyle w:val="FootnoteReference"/>
        </w:rPr>
        <w:footnoteRef/>
      </w:r>
      <w:r>
        <w:t xml:space="preserve"> </w:t>
      </w:r>
      <w:r w:rsidR="00C2295E">
        <w:t>Australian Bureau of Statistics, ‘</w:t>
      </w:r>
      <w:r>
        <w:rPr>
          <w:lang w:val="en-US"/>
        </w:rPr>
        <w:t>Australian Disability Inclusion Index</w:t>
      </w:r>
      <w:r w:rsidR="00C2295E">
        <w:rPr>
          <w:lang w:val="en-US"/>
        </w:rPr>
        <w:t>’</w:t>
      </w:r>
      <w:r w:rsidR="003B0408">
        <w:rPr>
          <w:lang w:val="en-US"/>
        </w:rPr>
        <w:t xml:space="preserve">, </w:t>
      </w:r>
      <w:r>
        <w:rPr>
          <w:lang w:val="en-US"/>
        </w:rPr>
        <w:t>2022</w:t>
      </w:r>
      <w:r w:rsidR="003B0408">
        <w:rPr>
          <w:lang w:val="en-US"/>
        </w:rPr>
        <w:t>, available at</w:t>
      </w:r>
      <w:r>
        <w:rPr>
          <w:lang w:val="en-US"/>
        </w:rPr>
        <w:t xml:space="preserve"> </w:t>
      </w:r>
      <w:hyperlink r:id="rId28" w:history="1">
        <w:r w:rsidR="009706AB" w:rsidRPr="00A3739A">
          <w:rPr>
            <w:rStyle w:val="Hyperlink"/>
            <w:lang w:val="en-US"/>
          </w:rPr>
          <w:t>https://www.digitalinclusionindex.org.au/</w:t>
        </w:r>
      </w:hyperlink>
      <w:r w:rsidR="00C2295E">
        <w:rPr>
          <w:lang w:val="en-US"/>
        </w:rPr>
        <w:t>.</w:t>
      </w:r>
    </w:p>
  </w:footnote>
  <w:footnote w:id="42">
    <w:p w14:paraId="1DE8F910" w14:textId="18C5D771" w:rsidR="008C0BEE" w:rsidRPr="008C0BEE" w:rsidRDefault="008C0BEE">
      <w:pPr>
        <w:pStyle w:val="FootnoteText"/>
        <w:rPr>
          <w:lang w:val="en-US"/>
        </w:rPr>
      </w:pPr>
      <w:r>
        <w:rPr>
          <w:rStyle w:val="FootnoteReference"/>
        </w:rPr>
        <w:footnoteRef/>
      </w:r>
      <w:r>
        <w:t xml:space="preserve"> </w:t>
      </w:r>
      <w:r w:rsidRPr="008C0BEE">
        <w:t> </w:t>
      </w:r>
      <w:r w:rsidRPr="008C0BEE">
        <w:rPr>
          <w:lang w:val="en-US"/>
        </w:rPr>
        <w:t xml:space="preserve">Royal Commission Into Violence, Abuse, Neglect and Exploitation, Final Report, ‘Enabling Autonomy and Access’ </w:t>
      </w:r>
      <w:r w:rsidR="003B0408">
        <w:rPr>
          <w:lang w:val="en-US"/>
        </w:rPr>
        <w:t>,</w:t>
      </w:r>
      <w:r w:rsidR="003B0408" w:rsidRPr="008C0BEE">
        <w:rPr>
          <w:lang w:val="en-US"/>
        </w:rPr>
        <w:t xml:space="preserve"> September 2023</w:t>
      </w:r>
      <w:r w:rsidR="003B0408">
        <w:rPr>
          <w:lang w:val="en-US"/>
        </w:rPr>
        <w:t xml:space="preserve">, p.43, available at </w:t>
      </w:r>
      <w:hyperlink r:id="rId29" w:history="1">
        <w:r w:rsidR="003B0408" w:rsidRPr="00C032DC">
          <w:rPr>
            <w:rStyle w:val="Hyperlink"/>
            <w:lang w:val="en-US"/>
          </w:rPr>
          <w:t>https://disability.royalcommission.gov.au/</w:t>
        </w:r>
        <w:r w:rsidR="003B0408">
          <w:rPr>
            <w:rStyle w:val="Hyperlink"/>
            <w:lang w:val="en-US"/>
          </w:rPr>
          <w:t>‌</w:t>
        </w:r>
        <w:r w:rsidR="003B0408" w:rsidRPr="00C032DC">
          <w:rPr>
            <w:rStyle w:val="Hyperlink"/>
            <w:lang w:val="en-US"/>
          </w:rPr>
          <w:t>publications/final-report</w:t>
        </w:r>
      </w:hyperlink>
      <w:r w:rsidR="003B0408">
        <w:rPr>
          <w:lang w:val="en-US"/>
        </w:rPr>
        <w:t xml:space="preserve">. </w:t>
      </w:r>
    </w:p>
  </w:footnote>
  <w:footnote w:id="43">
    <w:p w14:paraId="6D8261FC" w14:textId="59ACEDBA" w:rsidR="007C3361" w:rsidRPr="007C3361" w:rsidRDefault="007C3361">
      <w:pPr>
        <w:pStyle w:val="FootnoteText"/>
        <w:rPr>
          <w:lang w:val="en-US"/>
        </w:rPr>
      </w:pPr>
      <w:r>
        <w:rPr>
          <w:rStyle w:val="FootnoteReference"/>
        </w:rPr>
        <w:footnoteRef/>
      </w:r>
      <w:r>
        <w:t xml:space="preserve"> </w:t>
      </w:r>
      <w:r w:rsidR="009769D0" w:rsidRPr="009769D0">
        <w:t xml:space="preserve">Dr Ariella Meltzer, Research Fellow at the Centre for Social Impact, University of New South Wales, see </w:t>
      </w:r>
      <w:r w:rsidR="001B5877" w:rsidRPr="001B5877">
        <w:rPr>
          <w:i/>
          <w:iCs/>
        </w:rPr>
        <w:t>I</w:t>
      </w:r>
      <w:r w:rsidRPr="001B5877">
        <w:rPr>
          <w:i/>
          <w:iCs/>
          <w:lang w:val="en-US"/>
        </w:rPr>
        <w:t>bid</w:t>
      </w:r>
      <w:r w:rsidR="001B5877">
        <w:rPr>
          <w:lang w:val="en-US"/>
        </w:rPr>
        <w:t>, p.</w:t>
      </w:r>
      <w:r>
        <w:rPr>
          <w:lang w:val="en-US"/>
        </w:rPr>
        <w:t xml:space="preserve">41. </w:t>
      </w:r>
    </w:p>
  </w:footnote>
  <w:footnote w:id="44">
    <w:p w14:paraId="3FA26D49" w14:textId="4A126826" w:rsidR="00996FAE" w:rsidRPr="00996FAE" w:rsidRDefault="00996FAE">
      <w:pPr>
        <w:pStyle w:val="FootnoteText"/>
        <w:rPr>
          <w:lang w:val="en-US"/>
        </w:rPr>
      </w:pPr>
      <w:r>
        <w:rPr>
          <w:rStyle w:val="FootnoteReference"/>
        </w:rPr>
        <w:footnoteRef/>
      </w:r>
      <w:r>
        <w:t xml:space="preserve"> </w:t>
      </w:r>
      <w:r w:rsidR="001B5877" w:rsidRPr="003E5F47">
        <w:t>NDIS Review, ‘Final Report: Working together to deliver the NDIS’, 2023, p</w:t>
      </w:r>
      <w:r w:rsidR="001B5877">
        <w:t>.42</w:t>
      </w:r>
      <w:r w:rsidR="001B5877" w:rsidRPr="003E5F47">
        <w:t xml:space="preserve">, available at </w:t>
      </w:r>
      <w:hyperlink r:id="rId30" w:history="1">
        <w:r w:rsidR="001B5877" w:rsidRPr="00C032DC">
          <w:rPr>
            <w:rStyle w:val="Hyperlink"/>
          </w:rPr>
          <w:t>https://www.ndisreview.gov.au/sites/default/files/resource/download/working-together-ndis-review-final-report.pdf</w:t>
        </w:r>
      </w:hyperlink>
      <w:r w:rsidR="001B5877" w:rsidRPr="003E5F47">
        <w:t>.</w:t>
      </w:r>
    </w:p>
  </w:footnote>
  <w:footnote w:id="45">
    <w:p w14:paraId="17CBA4D6" w14:textId="468738FF" w:rsidR="00662640" w:rsidRPr="00662640" w:rsidRDefault="00662640">
      <w:pPr>
        <w:pStyle w:val="FootnoteText"/>
        <w:rPr>
          <w:lang w:val="en-GB"/>
        </w:rPr>
      </w:pPr>
      <w:r>
        <w:rPr>
          <w:rStyle w:val="FootnoteReference"/>
        </w:rPr>
        <w:footnoteRef/>
      </w:r>
      <w:r>
        <w:t xml:space="preserve"> </w:t>
      </w:r>
      <w:r w:rsidR="00123BE3" w:rsidRPr="00AF4765">
        <w:t xml:space="preserve">Productivity Commission, ‘Disability Care and Support,’ Report no.54, 2011, </w:t>
      </w:r>
      <w:r w:rsidR="00A81105" w:rsidRPr="00662640">
        <w:t>p.411</w:t>
      </w:r>
      <w:r w:rsidR="00A81105">
        <w:t xml:space="preserve">, </w:t>
      </w:r>
      <w:r w:rsidR="00123BE3" w:rsidRPr="00AF4765">
        <w:t xml:space="preserve">available at </w:t>
      </w:r>
      <w:hyperlink r:id="rId31" w:history="1">
        <w:r w:rsidR="00123BE3" w:rsidRPr="00C032DC">
          <w:rPr>
            <w:rStyle w:val="Hyperlink"/>
          </w:rPr>
          <w:t>https://www.pc.gov.au/inquiries/completed/disability-support/report</w:t>
        </w:r>
      </w:hyperlink>
      <w:r w:rsidR="00123BE3" w:rsidRPr="00AF4765">
        <w:t>.</w:t>
      </w:r>
      <w:r w:rsidR="00A81105">
        <w:t xml:space="preserve"> </w:t>
      </w:r>
    </w:p>
  </w:footnote>
  <w:footnote w:id="46">
    <w:p w14:paraId="6130D81C" w14:textId="7001A998" w:rsidR="00662640" w:rsidRPr="00662640" w:rsidRDefault="00662640">
      <w:pPr>
        <w:pStyle w:val="FootnoteText"/>
        <w:rPr>
          <w:lang w:val="en-GB"/>
        </w:rPr>
      </w:pPr>
      <w:r>
        <w:rPr>
          <w:rStyle w:val="FootnoteReference"/>
        </w:rPr>
        <w:footnoteRef/>
      </w:r>
      <w:r>
        <w:t xml:space="preserve"> </w:t>
      </w:r>
      <w:r w:rsidR="00A81105" w:rsidRPr="00BB0EA7">
        <w:rPr>
          <w:i/>
          <w:iCs/>
        </w:rPr>
        <w:t>Ibid</w:t>
      </w:r>
      <w:r w:rsidR="00A81105">
        <w:t xml:space="preserve">, </w:t>
      </w:r>
      <w:r w:rsidR="00DA4423" w:rsidRPr="00DA4423">
        <w:t>p.446</w:t>
      </w:r>
      <w:r w:rsidR="00A81105">
        <w:t>.</w:t>
      </w:r>
    </w:p>
  </w:footnote>
  <w:footnote w:id="47">
    <w:p w14:paraId="3525BF49" w14:textId="1A4675CD" w:rsidR="00CE714A" w:rsidRPr="00CE714A" w:rsidRDefault="00CE714A">
      <w:pPr>
        <w:pStyle w:val="FootnoteText"/>
        <w:rPr>
          <w:lang w:val="en-US"/>
        </w:rPr>
      </w:pPr>
      <w:r>
        <w:rPr>
          <w:rStyle w:val="FootnoteReference"/>
        </w:rPr>
        <w:footnoteRef/>
      </w:r>
      <w:r>
        <w:t xml:space="preserve"> </w:t>
      </w:r>
      <w:r w:rsidR="00BB0EA7" w:rsidRPr="003E5F47">
        <w:t>NDIS Review, ‘Final Report: Working together to deliver the NDIS’, 2023, p</w:t>
      </w:r>
      <w:r w:rsidR="00BB0EA7">
        <w:t>.49</w:t>
      </w:r>
      <w:r w:rsidR="00BB0EA7" w:rsidRPr="003E5F47">
        <w:t xml:space="preserve">, available at </w:t>
      </w:r>
      <w:hyperlink r:id="rId32" w:history="1">
        <w:r w:rsidR="00BB0EA7" w:rsidRPr="00C032DC">
          <w:rPr>
            <w:rStyle w:val="Hyperlink"/>
          </w:rPr>
          <w:t>https://www.ndisreview.gov.au/sites/default/files/resource/download/working-together-ndis-review-final-report.pdf</w:t>
        </w:r>
      </w:hyperlink>
      <w:r w:rsidR="00BB0EA7" w:rsidRPr="003E5F47">
        <w:t>.</w:t>
      </w:r>
    </w:p>
  </w:footnote>
  <w:footnote w:id="48">
    <w:p w14:paraId="4A5CFFE3" w14:textId="70CEC7EC" w:rsidR="00E679F4" w:rsidRPr="00E679F4" w:rsidRDefault="00E679F4">
      <w:pPr>
        <w:pStyle w:val="FootnoteText"/>
        <w:rPr>
          <w:lang w:val="en-US"/>
        </w:rPr>
      </w:pPr>
      <w:r>
        <w:rPr>
          <w:rStyle w:val="FootnoteReference"/>
        </w:rPr>
        <w:footnoteRef/>
      </w:r>
      <w:r>
        <w:t xml:space="preserve"> </w:t>
      </w:r>
      <w:r w:rsidRPr="00BB0EA7">
        <w:rPr>
          <w:i/>
          <w:iCs/>
          <w:lang w:val="en-US"/>
        </w:rPr>
        <w:t>Ibid</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87E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A599C"/>
    <w:multiLevelType w:val="multilevel"/>
    <w:tmpl w:val="F710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81DD6"/>
    <w:multiLevelType w:val="hybridMultilevel"/>
    <w:tmpl w:val="B0706D0E"/>
    <w:lvl w:ilvl="0" w:tplc="1DF20C02">
      <w:start w:val="1"/>
      <w:numFmt w:val="bullet"/>
      <w:lvlText w:val="•"/>
      <w:lvlJc w:val="left"/>
      <w:pPr>
        <w:tabs>
          <w:tab w:val="num" w:pos="720"/>
        </w:tabs>
        <w:ind w:left="720" w:hanging="360"/>
      </w:pPr>
      <w:rPr>
        <w:rFonts w:ascii="Arial" w:hAnsi="Arial" w:hint="default"/>
      </w:rPr>
    </w:lvl>
    <w:lvl w:ilvl="1" w:tplc="156E8DAA" w:tentative="1">
      <w:start w:val="1"/>
      <w:numFmt w:val="bullet"/>
      <w:lvlText w:val="•"/>
      <w:lvlJc w:val="left"/>
      <w:pPr>
        <w:tabs>
          <w:tab w:val="num" w:pos="1440"/>
        </w:tabs>
        <w:ind w:left="1440" w:hanging="360"/>
      </w:pPr>
      <w:rPr>
        <w:rFonts w:ascii="Arial" w:hAnsi="Arial" w:hint="default"/>
      </w:rPr>
    </w:lvl>
    <w:lvl w:ilvl="2" w:tplc="30D6089C" w:tentative="1">
      <w:start w:val="1"/>
      <w:numFmt w:val="bullet"/>
      <w:lvlText w:val="•"/>
      <w:lvlJc w:val="left"/>
      <w:pPr>
        <w:tabs>
          <w:tab w:val="num" w:pos="2160"/>
        </w:tabs>
        <w:ind w:left="2160" w:hanging="360"/>
      </w:pPr>
      <w:rPr>
        <w:rFonts w:ascii="Arial" w:hAnsi="Arial" w:hint="default"/>
      </w:rPr>
    </w:lvl>
    <w:lvl w:ilvl="3" w:tplc="AAF85DF6" w:tentative="1">
      <w:start w:val="1"/>
      <w:numFmt w:val="bullet"/>
      <w:lvlText w:val="•"/>
      <w:lvlJc w:val="left"/>
      <w:pPr>
        <w:tabs>
          <w:tab w:val="num" w:pos="2880"/>
        </w:tabs>
        <w:ind w:left="2880" w:hanging="360"/>
      </w:pPr>
      <w:rPr>
        <w:rFonts w:ascii="Arial" w:hAnsi="Arial" w:hint="default"/>
      </w:rPr>
    </w:lvl>
    <w:lvl w:ilvl="4" w:tplc="FE0EF48C" w:tentative="1">
      <w:start w:val="1"/>
      <w:numFmt w:val="bullet"/>
      <w:lvlText w:val="•"/>
      <w:lvlJc w:val="left"/>
      <w:pPr>
        <w:tabs>
          <w:tab w:val="num" w:pos="3600"/>
        </w:tabs>
        <w:ind w:left="3600" w:hanging="360"/>
      </w:pPr>
      <w:rPr>
        <w:rFonts w:ascii="Arial" w:hAnsi="Arial" w:hint="default"/>
      </w:rPr>
    </w:lvl>
    <w:lvl w:ilvl="5" w:tplc="37D43A68" w:tentative="1">
      <w:start w:val="1"/>
      <w:numFmt w:val="bullet"/>
      <w:lvlText w:val="•"/>
      <w:lvlJc w:val="left"/>
      <w:pPr>
        <w:tabs>
          <w:tab w:val="num" w:pos="4320"/>
        </w:tabs>
        <w:ind w:left="4320" w:hanging="360"/>
      </w:pPr>
      <w:rPr>
        <w:rFonts w:ascii="Arial" w:hAnsi="Arial" w:hint="default"/>
      </w:rPr>
    </w:lvl>
    <w:lvl w:ilvl="6" w:tplc="32BE14E0" w:tentative="1">
      <w:start w:val="1"/>
      <w:numFmt w:val="bullet"/>
      <w:lvlText w:val="•"/>
      <w:lvlJc w:val="left"/>
      <w:pPr>
        <w:tabs>
          <w:tab w:val="num" w:pos="5040"/>
        </w:tabs>
        <w:ind w:left="5040" w:hanging="360"/>
      </w:pPr>
      <w:rPr>
        <w:rFonts w:ascii="Arial" w:hAnsi="Arial" w:hint="default"/>
      </w:rPr>
    </w:lvl>
    <w:lvl w:ilvl="7" w:tplc="15A6EEC6" w:tentative="1">
      <w:start w:val="1"/>
      <w:numFmt w:val="bullet"/>
      <w:lvlText w:val="•"/>
      <w:lvlJc w:val="left"/>
      <w:pPr>
        <w:tabs>
          <w:tab w:val="num" w:pos="5760"/>
        </w:tabs>
        <w:ind w:left="5760" w:hanging="360"/>
      </w:pPr>
      <w:rPr>
        <w:rFonts w:ascii="Arial" w:hAnsi="Arial" w:hint="default"/>
      </w:rPr>
    </w:lvl>
    <w:lvl w:ilvl="8" w:tplc="CAD27B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F06DF5"/>
    <w:multiLevelType w:val="multilevel"/>
    <w:tmpl w:val="98F0AC4A"/>
    <w:lvl w:ilvl="0">
      <w:start w:val="1"/>
      <w:numFmt w:val="decimal"/>
      <w:pStyle w:val="Heading1"/>
      <w:lvlText w:val="%1."/>
      <w:lvlJc w:val="left"/>
      <w:pPr>
        <w:ind w:left="360" w:hanging="360"/>
      </w:pPr>
    </w:lvl>
    <w:lvl w:ilvl="1">
      <w:start w:val="1"/>
      <w:numFmt w:val="decimal"/>
      <w:pStyle w:val="Heading2"/>
      <w:lvlText w:val="%1.%2."/>
      <w:lvlJc w:val="left"/>
      <w:pPr>
        <w:ind w:left="9363" w:hanging="432"/>
      </w:p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0443E"/>
    <w:multiLevelType w:val="multilevel"/>
    <w:tmpl w:val="A24E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2143D"/>
    <w:multiLevelType w:val="hybridMultilevel"/>
    <w:tmpl w:val="5B24C63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1D410B03"/>
    <w:multiLevelType w:val="multilevel"/>
    <w:tmpl w:val="4398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F7EFD"/>
    <w:multiLevelType w:val="multilevel"/>
    <w:tmpl w:val="FF0055D8"/>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4ED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E73B0B"/>
    <w:multiLevelType w:val="multilevel"/>
    <w:tmpl w:val="BADC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9590D"/>
    <w:multiLevelType w:val="multilevel"/>
    <w:tmpl w:val="32CA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31E36"/>
    <w:multiLevelType w:val="hybridMultilevel"/>
    <w:tmpl w:val="894CCA1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4E8C0CA4"/>
    <w:multiLevelType w:val="multilevel"/>
    <w:tmpl w:val="96E0B8B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580E53"/>
    <w:multiLevelType w:val="hybridMultilevel"/>
    <w:tmpl w:val="53A42A6A"/>
    <w:lvl w:ilvl="0" w:tplc="FFFFFFFF">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1017F5"/>
    <w:multiLevelType w:val="multilevel"/>
    <w:tmpl w:val="A8E84930"/>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34BA4"/>
    <w:multiLevelType w:val="multilevel"/>
    <w:tmpl w:val="47D0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85A14"/>
    <w:multiLevelType w:val="multilevel"/>
    <w:tmpl w:val="EB38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300782">
    <w:abstractNumId w:val="3"/>
  </w:num>
  <w:num w:numId="2" w16cid:durableId="1678845671">
    <w:abstractNumId w:val="8"/>
  </w:num>
  <w:num w:numId="3" w16cid:durableId="1378118048">
    <w:abstractNumId w:val="2"/>
  </w:num>
  <w:num w:numId="4" w16cid:durableId="582450329">
    <w:abstractNumId w:val="10"/>
  </w:num>
  <w:num w:numId="5" w16cid:durableId="485168350">
    <w:abstractNumId w:val="15"/>
  </w:num>
  <w:num w:numId="6" w16cid:durableId="276260819">
    <w:abstractNumId w:val="9"/>
  </w:num>
  <w:num w:numId="7" w16cid:durableId="1597862870">
    <w:abstractNumId w:val="16"/>
  </w:num>
  <w:num w:numId="8" w16cid:durableId="120149697">
    <w:abstractNumId w:val="6"/>
  </w:num>
  <w:num w:numId="9" w16cid:durableId="259725670">
    <w:abstractNumId w:val="1"/>
  </w:num>
  <w:num w:numId="10" w16cid:durableId="2049211831">
    <w:abstractNumId w:val="4"/>
  </w:num>
  <w:num w:numId="11" w16cid:durableId="628827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7349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2347470">
    <w:abstractNumId w:val="12"/>
  </w:num>
  <w:num w:numId="14" w16cid:durableId="2006398008">
    <w:abstractNumId w:val="7"/>
  </w:num>
  <w:num w:numId="15" w16cid:durableId="1234391747">
    <w:abstractNumId w:val="14"/>
  </w:num>
  <w:num w:numId="16" w16cid:durableId="18237531">
    <w:abstractNumId w:val="5"/>
  </w:num>
  <w:num w:numId="17" w16cid:durableId="2129425070">
    <w:abstractNumId w:val="11"/>
  </w:num>
  <w:num w:numId="18" w16cid:durableId="59057807">
    <w:abstractNumId w:val="0"/>
  </w:num>
  <w:num w:numId="19" w16cid:durableId="72930955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568D6C2-2D96-4B00-B604-4E0AB7AA1C37}"/>
    <w:docVar w:name="dgnword-eventsink" w:val="42484960"/>
  </w:docVars>
  <w:rsids>
    <w:rsidRoot w:val="00CC3462"/>
    <w:rsid w:val="0000079F"/>
    <w:rsid w:val="00000D82"/>
    <w:rsid w:val="00001CF2"/>
    <w:rsid w:val="00002191"/>
    <w:rsid w:val="0000262F"/>
    <w:rsid w:val="00002C22"/>
    <w:rsid w:val="00003382"/>
    <w:rsid w:val="000040A8"/>
    <w:rsid w:val="0000413D"/>
    <w:rsid w:val="000043CD"/>
    <w:rsid w:val="0000480A"/>
    <w:rsid w:val="00004D87"/>
    <w:rsid w:val="00004E4F"/>
    <w:rsid w:val="00004FDB"/>
    <w:rsid w:val="0000504A"/>
    <w:rsid w:val="00005450"/>
    <w:rsid w:val="00006EE5"/>
    <w:rsid w:val="00007227"/>
    <w:rsid w:val="00007F60"/>
    <w:rsid w:val="00007F9F"/>
    <w:rsid w:val="00007FD5"/>
    <w:rsid w:val="000111AD"/>
    <w:rsid w:val="000115C5"/>
    <w:rsid w:val="00013168"/>
    <w:rsid w:val="000131DE"/>
    <w:rsid w:val="00014730"/>
    <w:rsid w:val="00014A8A"/>
    <w:rsid w:val="000155A5"/>
    <w:rsid w:val="00015C6B"/>
    <w:rsid w:val="00015E05"/>
    <w:rsid w:val="000163AE"/>
    <w:rsid w:val="000163ED"/>
    <w:rsid w:val="00017857"/>
    <w:rsid w:val="00020304"/>
    <w:rsid w:val="00020335"/>
    <w:rsid w:val="0002061F"/>
    <w:rsid w:val="000208F4"/>
    <w:rsid w:val="000208FA"/>
    <w:rsid w:val="00021138"/>
    <w:rsid w:val="0002169A"/>
    <w:rsid w:val="00021CDB"/>
    <w:rsid w:val="0002281C"/>
    <w:rsid w:val="000231D7"/>
    <w:rsid w:val="000236C5"/>
    <w:rsid w:val="00023CC7"/>
    <w:rsid w:val="000243C2"/>
    <w:rsid w:val="00024499"/>
    <w:rsid w:val="00024500"/>
    <w:rsid w:val="0002517F"/>
    <w:rsid w:val="00025251"/>
    <w:rsid w:val="00025432"/>
    <w:rsid w:val="00025C15"/>
    <w:rsid w:val="00025C67"/>
    <w:rsid w:val="00030977"/>
    <w:rsid w:val="00030B3F"/>
    <w:rsid w:val="00030DCC"/>
    <w:rsid w:val="00031484"/>
    <w:rsid w:val="00031577"/>
    <w:rsid w:val="00031C51"/>
    <w:rsid w:val="000321AB"/>
    <w:rsid w:val="00032809"/>
    <w:rsid w:val="00032A6E"/>
    <w:rsid w:val="00032A83"/>
    <w:rsid w:val="00032FA6"/>
    <w:rsid w:val="00033406"/>
    <w:rsid w:val="000337A5"/>
    <w:rsid w:val="0003413D"/>
    <w:rsid w:val="00034187"/>
    <w:rsid w:val="0003435D"/>
    <w:rsid w:val="000343E0"/>
    <w:rsid w:val="0003457E"/>
    <w:rsid w:val="0003494F"/>
    <w:rsid w:val="00034BEA"/>
    <w:rsid w:val="00034C21"/>
    <w:rsid w:val="00034F13"/>
    <w:rsid w:val="0003500E"/>
    <w:rsid w:val="000358CA"/>
    <w:rsid w:val="0003594B"/>
    <w:rsid w:val="00036E48"/>
    <w:rsid w:val="000372DE"/>
    <w:rsid w:val="00037BFC"/>
    <w:rsid w:val="00037D05"/>
    <w:rsid w:val="00040BAB"/>
    <w:rsid w:val="00040DBB"/>
    <w:rsid w:val="00040FBF"/>
    <w:rsid w:val="000411D9"/>
    <w:rsid w:val="00041253"/>
    <w:rsid w:val="00041375"/>
    <w:rsid w:val="000413A8"/>
    <w:rsid w:val="00041A4A"/>
    <w:rsid w:val="00041DCE"/>
    <w:rsid w:val="00041E27"/>
    <w:rsid w:val="000425AF"/>
    <w:rsid w:val="000430D0"/>
    <w:rsid w:val="00043ED2"/>
    <w:rsid w:val="0004489E"/>
    <w:rsid w:val="000454F8"/>
    <w:rsid w:val="000455C7"/>
    <w:rsid w:val="0004565E"/>
    <w:rsid w:val="000461DE"/>
    <w:rsid w:val="00046555"/>
    <w:rsid w:val="00047A17"/>
    <w:rsid w:val="00047F04"/>
    <w:rsid w:val="00050B3A"/>
    <w:rsid w:val="00050ECA"/>
    <w:rsid w:val="00051496"/>
    <w:rsid w:val="00051FE9"/>
    <w:rsid w:val="000525BC"/>
    <w:rsid w:val="0005334C"/>
    <w:rsid w:val="000534CB"/>
    <w:rsid w:val="00054AD2"/>
    <w:rsid w:val="00055331"/>
    <w:rsid w:val="00055924"/>
    <w:rsid w:val="000559EE"/>
    <w:rsid w:val="00055C61"/>
    <w:rsid w:val="00055F10"/>
    <w:rsid w:val="000563CE"/>
    <w:rsid w:val="00056B19"/>
    <w:rsid w:val="0005701E"/>
    <w:rsid w:val="0005717A"/>
    <w:rsid w:val="0005754A"/>
    <w:rsid w:val="00057C9E"/>
    <w:rsid w:val="00060A5F"/>
    <w:rsid w:val="000614DF"/>
    <w:rsid w:val="000616FE"/>
    <w:rsid w:val="00061B92"/>
    <w:rsid w:val="00062016"/>
    <w:rsid w:val="0006269B"/>
    <w:rsid w:val="00062798"/>
    <w:rsid w:val="00062908"/>
    <w:rsid w:val="00062C2F"/>
    <w:rsid w:val="00063DF6"/>
    <w:rsid w:val="00064882"/>
    <w:rsid w:val="00064F7C"/>
    <w:rsid w:val="00064FDD"/>
    <w:rsid w:val="00065458"/>
    <w:rsid w:val="00065AA0"/>
    <w:rsid w:val="00065DA2"/>
    <w:rsid w:val="00066450"/>
    <w:rsid w:val="00067137"/>
    <w:rsid w:val="0006761C"/>
    <w:rsid w:val="00067AEA"/>
    <w:rsid w:val="00067D5C"/>
    <w:rsid w:val="0007001F"/>
    <w:rsid w:val="000708EA"/>
    <w:rsid w:val="00070B5B"/>
    <w:rsid w:val="00070B6F"/>
    <w:rsid w:val="00071047"/>
    <w:rsid w:val="0007114F"/>
    <w:rsid w:val="000713EE"/>
    <w:rsid w:val="00071556"/>
    <w:rsid w:val="00071807"/>
    <w:rsid w:val="00072D45"/>
    <w:rsid w:val="0007369E"/>
    <w:rsid w:val="00073735"/>
    <w:rsid w:val="00075539"/>
    <w:rsid w:val="00075B22"/>
    <w:rsid w:val="000769F4"/>
    <w:rsid w:val="00076C1D"/>
    <w:rsid w:val="00077C15"/>
    <w:rsid w:val="00080099"/>
    <w:rsid w:val="000809E1"/>
    <w:rsid w:val="0008253F"/>
    <w:rsid w:val="00082F4D"/>
    <w:rsid w:val="0008301E"/>
    <w:rsid w:val="0008403D"/>
    <w:rsid w:val="0008442C"/>
    <w:rsid w:val="0008479C"/>
    <w:rsid w:val="0008482E"/>
    <w:rsid w:val="00084C04"/>
    <w:rsid w:val="00084D45"/>
    <w:rsid w:val="00085A07"/>
    <w:rsid w:val="00085E92"/>
    <w:rsid w:val="0008671B"/>
    <w:rsid w:val="00086BF3"/>
    <w:rsid w:val="00086C1D"/>
    <w:rsid w:val="00087420"/>
    <w:rsid w:val="0008748A"/>
    <w:rsid w:val="000900A9"/>
    <w:rsid w:val="00090979"/>
    <w:rsid w:val="00090C5D"/>
    <w:rsid w:val="000916A5"/>
    <w:rsid w:val="000928A0"/>
    <w:rsid w:val="00092D0A"/>
    <w:rsid w:val="0009379F"/>
    <w:rsid w:val="00093E22"/>
    <w:rsid w:val="00094041"/>
    <w:rsid w:val="00094097"/>
    <w:rsid w:val="0009420E"/>
    <w:rsid w:val="00094725"/>
    <w:rsid w:val="00094A08"/>
    <w:rsid w:val="00094AD0"/>
    <w:rsid w:val="00094BE9"/>
    <w:rsid w:val="00095123"/>
    <w:rsid w:val="0009533E"/>
    <w:rsid w:val="0009633D"/>
    <w:rsid w:val="000967C7"/>
    <w:rsid w:val="00096866"/>
    <w:rsid w:val="0009691E"/>
    <w:rsid w:val="000970BB"/>
    <w:rsid w:val="00097278"/>
    <w:rsid w:val="00097AF5"/>
    <w:rsid w:val="000A01E6"/>
    <w:rsid w:val="000A052B"/>
    <w:rsid w:val="000A052C"/>
    <w:rsid w:val="000A08FC"/>
    <w:rsid w:val="000A102F"/>
    <w:rsid w:val="000A13AC"/>
    <w:rsid w:val="000A19EA"/>
    <w:rsid w:val="000A1E81"/>
    <w:rsid w:val="000A1EF3"/>
    <w:rsid w:val="000A21B9"/>
    <w:rsid w:val="000A2373"/>
    <w:rsid w:val="000A2ABE"/>
    <w:rsid w:val="000A2B4B"/>
    <w:rsid w:val="000A390E"/>
    <w:rsid w:val="000A3BDA"/>
    <w:rsid w:val="000A418B"/>
    <w:rsid w:val="000A4497"/>
    <w:rsid w:val="000A4C50"/>
    <w:rsid w:val="000A5031"/>
    <w:rsid w:val="000A5515"/>
    <w:rsid w:val="000A57FC"/>
    <w:rsid w:val="000A6278"/>
    <w:rsid w:val="000A68A7"/>
    <w:rsid w:val="000A6950"/>
    <w:rsid w:val="000A710D"/>
    <w:rsid w:val="000A7765"/>
    <w:rsid w:val="000A793C"/>
    <w:rsid w:val="000B0745"/>
    <w:rsid w:val="000B134B"/>
    <w:rsid w:val="000B2060"/>
    <w:rsid w:val="000B3236"/>
    <w:rsid w:val="000B3FF7"/>
    <w:rsid w:val="000B404E"/>
    <w:rsid w:val="000B4228"/>
    <w:rsid w:val="000B4312"/>
    <w:rsid w:val="000B45CB"/>
    <w:rsid w:val="000B4A99"/>
    <w:rsid w:val="000B525F"/>
    <w:rsid w:val="000B5686"/>
    <w:rsid w:val="000B578E"/>
    <w:rsid w:val="000B582A"/>
    <w:rsid w:val="000B6A8F"/>
    <w:rsid w:val="000B6B28"/>
    <w:rsid w:val="000B6C87"/>
    <w:rsid w:val="000B74FC"/>
    <w:rsid w:val="000B7684"/>
    <w:rsid w:val="000B77A2"/>
    <w:rsid w:val="000B79C1"/>
    <w:rsid w:val="000B7B95"/>
    <w:rsid w:val="000B7D9E"/>
    <w:rsid w:val="000B7DEF"/>
    <w:rsid w:val="000C0516"/>
    <w:rsid w:val="000C08B8"/>
    <w:rsid w:val="000C0F65"/>
    <w:rsid w:val="000C147B"/>
    <w:rsid w:val="000C1726"/>
    <w:rsid w:val="000C22B2"/>
    <w:rsid w:val="000C3303"/>
    <w:rsid w:val="000C363B"/>
    <w:rsid w:val="000C4D98"/>
    <w:rsid w:val="000C5173"/>
    <w:rsid w:val="000C51D1"/>
    <w:rsid w:val="000C5F35"/>
    <w:rsid w:val="000C6E88"/>
    <w:rsid w:val="000C761E"/>
    <w:rsid w:val="000C773D"/>
    <w:rsid w:val="000C787C"/>
    <w:rsid w:val="000C7FFC"/>
    <w:rsid w:val="000D017D"/>
    <w:rsid w:val="000D08D5"/>
    <w:rsid w:val="000D08FF"/>
    <w:rsid w:val="000D0A19"/>
    <w:rsid w:val="000D0E8A"/>
    <w:rsid w:val="000D1074"/>
    <w:rsid w:val="000D123E"/>
    <w:rsid w:val="000D178E"/>
    <w:rsid w:val="000D1BEA"/>
    <w:rsid w:val="000D1ED3"/>
    <w:rsid w:val="000D2301"/>
    <w:rsid w:val="000D251B"/>
    <w:rsid w:val="000D2834"/>
    <w:rsid w:val="000D2845"/>
    <w:rsid w:val="000D2BFB"/>
    <w:rsid w:val="000D2C83"/>
    <w:rsid w:val="000D31F1"/>
    <w:rsid w:val="000D34C9"/>
    <w:rsid w:val="000D3A27"/>
    <w:rsid w:val="000D3AC3"/>
    <w:rsid w:val="000D3E90"/>
    <w:rsid w:val="000D4830"/>
    <w:rsid w:val="000D4F56"/>
    <w:rsid w:val="000D4F9E"/>
    <w:rsid w:val="000D68B9"/>
    <w:rsid w:val="000D6C49"/>
    <w:rsid w:val="000D6DF3"/>
    <w:rsid w:val="000D739B"/>
    <w:rsid w:val="000D76EE"/>
    <w:rsid w:val="000E043F"/>
    <w:rsid w:val="000E1473"/>
    <w:rsid w:val="000E1B5F"/>
    <w:rsid w:val="000E2A60"/>
    <w:rsid w:val="000E3446"/>
    <w:rsid w:val="000E36F5"/>
    <w:rsid w:val="000E391D"/>
    <w:rsid w:val="000E3C2F"/>
    <w:rsid w:val="000E43FF"/>
    <w:rsid w:val="000E46A1"/>
    <w:rsid w:val="000E4E56"/>
    <w:rsid w:val="000E4FEC"/>
    <w:rsid w:val="000E5348"/>
    <w:rsid w:val="000E6342"/>
    <w:rsid w:val="000E75C8"/>
    <w:rsid w:val="000E776F"/>
    <w:rsid w:val="000E7A2E"/>
    <w:rsid w:val="000F0074"/>
    <w:rsid w:val="000F0325"/>
    <w:rsid w:val="000F1B43"/>
    <w:rsid w:val="000F1FF8"/>
    <w:rsid w:val="000F2CD9"/>
    <w:rsid w:val="000F2DA2"/>
    <w:rsid w:val="000F3291"/>
    <w:rsid w:val="000F46F4"/>
    <w:rsid w:val="000F4A98"/>
    <w:rsid w:val="000F5462"/>
    <w:rsid w:val="000F563D"/>
    <w:rsid w:val="000F57F8"/>
    <w:rsid w:val="000F5A0E"/>
    <w:rsid w:val="000F5B13"/>
    <w:rsid w:val="000F62C6"/>
    <w:rsid w:val="000F630B"/>
    <w:rsid w:val="000F70F9"/>
    <w:rsid w:val="00100115"/>
    <w:rsid w:val="00101117"/>
    <w:rsid w:val="00101560"/>
    <w:rsid w:val="00101590"/>
    <w:rsid w:val="00101791"/>
    <w:rsid w:val="00101815"/>
    <w:rsid w:val="00101EE0"/>
    <w:rsid w:val="0010274A"/>
    <w:rsid w:val="001028DB"/>
    <w:rsid w:val="00102B54"/>
    <w:rsid w:val="001031A3"/>
    <w:rsid w:val="00103436"/>
    <w:rsid w:val="0010399D"/>
    <w:rsid w:val="00103FAC"/>
    <w:rsid w:val="00104161"/>
    <w:rsid w:val="001044BE"/>
    <w:rsid w:val="0010463E"/>
    <w:rsid w:val="001056B6"/>
    <w:rsid w:val="00105DD5"/>
    <w:rsid w:val="0010614A"/>
    <w:rsid w:val="001068FA"/>
    <w:rsid w:val="00106AE2"/>
    <w:rsid w:val="00106F08"/>
    <w:rsid w:val="00107772"/>
    <w:rsid w:val="00110004"/>
    <w:rsid w:val="00110DFF"/>
    <w:rsid w:val="00110FD1"/>
    <w:rsid w:val="00111B13"/>
    <w:rsid w:val="00111FCE"/>
    <w:rsid w:val="00112217"/>
    <w:rsid w:val="00112484"/>
    <w:rsid w:val="00112755"/>
    <w:rsid w:val="00113235"/>
    <w:rsid w:val="00113717"/>
    <w:rsid w:val="001143FF"/>
    <w:rsid w:val="00114499"/>
    <w:rsid w:val="001156DD"/>
    <w:rsid w:val="0011586A"/>
    <w:rsid w:val="00116F8D"/>
    <w:rsid w:val="00117034"/>
    <w:rsid w:val="001172AB"/>
    <w:rsid w:val="00117315"/>
    <w:rsid w:val="0011779E"/>
    <w:rsid w:val="00120135"/>
    <w:rsid w:val="001204E9"/>
    <w:rsid w:val="00120B62"/>
    <w:rsid w:val="001211BB"/>
    <w:rsid w:val="0012160E"/>
    <w:rsid w:val="00121744"/>
    <w:rsid w:val="00121D22"/>
    <w:rsid w:val="00121FEF"/>
    <w:rsid w:val="00122EBE"/>
    <w:rsid w:val="001238B7"/>
    <w:rsid w:val="00123AEA"/>
    <w:rsid w:val="00123BE3"/>
    <w:rsid w:val="00123D9E"/>
    <w:rsid w:val="00124553"/>
    <w:rsid w:val="00124B6A"/>
    <w:rsid w:val="00124C33"/>
    <w:rsid w:val="00125170"/>
    <w:rsid w:val="0012535D"/>
    <w:rsid w:val="00125990"/>
    <w:rsid w:val="00125D14"/>
    <w:rsid w:val="001260CE"/>
    <w:rsid w:val="001270AE"/>
    <w:rsid w:val="00130EAD"/>
    <w:rsid w:val="00131AC5"/>
    <w:rsid w:val="00131D87"/>
    <w:rsid w:val="00131F96"/>
    <w:rsid w:val="0013201E"/>
    <w:rsid w:val="001320E6"/>
    <w:rsid w:val="00132216"/>
    <w:rsid w:val="001327AA"/>
    <w:rsid w:val="001327ED"/>
    <w:rsid w:val="00132DF5"/>
    <w:rsid w:val="00133108"/>
    <w:rsid w:val="00133908"/>
    <w:rsid w:val="0013392B"/>
    <w:rsid w:val="001345FC"/>
    <w:rsid w:val="001349C4"/>
    <w:rsid w:val="00134D3A"/>
    <w:rsid w:val="0013500B"/>
    <w:rsid w:val="00135019"/>
    <w:rsid w:val="00135885"/>
    <w:rsid w:val="00135FCF"/>
    <w:rsid w:val="00135FFF"/>
    <w:rsid w:val="00136742"/>
    <w:rsid w:val="001368C6"/>
    <w:rsid w:val="00136BD0"/>
    <w:rsid w:val="00137299"/>
    <w:rsid w:val="0013749A"/>
    <w:rsid w:val="001375D4"/>
    <w:rsid w:val="00137CBA"/>
    <w:rsid w:val="00140356"/>
    <w:rsid w:val="00140753"/>
    <w:rsid w:val="0014087A"/>
    <w:rsid w:val="00141211"/>
    <w:rsid w:val="00141A10"/>
    <w:rsid w:val="001424AD"/>
    <w:rsid w:val="00143086"/>
    <w:rsid w:val="001433EA"/>
    <w:rsid w:val="001436A4"/>
    <w:rsid w:val="00143A9D"/>
    <w:rsid w:val="00144082"/>
    <w:rsid w:val="001446BE"/>
    <w:rsid w:val="00144CE6"/>
    <w:rsid w:val="001450C0"/>
    <w:rsid w:val="00145142"/>
    <w:rsid w:val="0014562E"/>
    <w:rsid w:val="00146536"/>
    <w:rsid w:val="001467D0"/>
    <w:rsid w:val="00147241"/>
    <w:rsid w:val="0014753E"/>
    <w:rsid w:val="00147750"/>
    <w:rsid w:val="00147AFC"/>
    <w:rsid w:val="00150417"/>
    <w:rsid w:val="00150856"/>
    <w:rsid w:val="00150932"/>
    <w:rsid w:val="00150B7C"/>
    <w:rsid w:val="001511F7"/>
    <w:rsid w:val="0015158E"/>
    <w:rsid w:val="00152914"/>
    <w:rsid w:val="00152DE1"/>
    <w:rsid w:val="00153B4B"/>
    <w:rsid w:val="00153E42"/>
    <w:rsid w:val="00153F8F"/>
    <w:rsid w:val="00153FB3"/>
    <w:rsid w:val="0015471A"/>
    <w:rsid w:val="00154987"/>
    <w:rsid w:val="00154B87"/>
    <w:rsid w:val="0015519A"/>
    <w:rsid w:val="00155359"/>
    <w:rsid w:val="0015566C"/>
    <w:rsid w:val="00155D76"/>
    <w:rsid w:val="00155DFA"/>
    <w:rsid w:val="00156338"/>
    <w:rsid w:val="001576E4"/>
    <w:rsid w:val="00157F37"/>
    <w:rsid w:val="001603ED"/>
    <w:rsid w:val="00160ABD"/>
    <w:rsid w:val="00160EA4"/>
    <w:rsid w:val="00161094"/>
    <w:rsid w:val="00161103"/>
    <w:rsid w:val="001613AE"/>
    <w:rsid w:val="00161887"/>
    <w:rsid w:val="00161C2E"/>
    <w:rsid w:val="00162652"/>
    <w:rsid w:val="001628FC"/>
    <w:rsid w:val="0016334B"/>
    <w:rsid w:val="00163363"/>
    <w:rsid w:val="00163520"/>
    <w:rsid w:val="001638C0"/>
    <w:rsid w:val="00163E66"/>
    <w:rsid w:val="001640AC"/>
    <w:rsid w:val="0016411D"/>
    <w:rsid w:val="001641CE"/>
    <w:rsid w:val="001646CD"/>
    <w:rsid w:val="00164BC8"/>
    <w:rsid w:val="00164EBD"/>
    <w:rsid w:val="001657B0"/>
    <w:rsid w:val="00166724"/>
    <w:rsid w:val="001667AC"/>
    <w:rsid w:val="00166818"/>
    <w:rsid w:val="00166B19"/>
    <w:rsid w:val="00167143"/>
    <w:rsid w:val="0016721E"/>
    <w:rsid w:val="001673C9"/>
    <w:rsid w:val="00167980"/>
    <w:rsid w:val="00170049"/>
    <w:rsid w:val="0017006B"/>
    <w:rsid w:val="001701A2"/>
    <w:rsid w:val="00170398"/>
    <w:rsid w:val="0017060B"/>
    <w:rsid w:val="00170ADE"/>
    <w:rsid w:val="00170AFB"/>
    <w:rsid w:val="00170C8A"/>
    <w:rsid w:val="0017248B"/>
    <w:rsid w:val="00172636"/>
    <w:rsid w:val="00173337"/>
    <w:rsid w:val="00173C1C"/>
    <w:rsid w:val="00173EC1"/>
    <w:rsid w:val="00174E2A"/>
    <w:rsid w:val="00174E68"/>
    <w:rsid w:val="0017509E"/>
    <w:rsid w:val="00175309"/>
    <w:rsid w:val="00175659"/>
    <w:rsid w:val="00176176"/>
    <w:rsid w:val="00177C77"/>
    <w:rsid w:val="00180350"/>
    <w:rsid w:val="001803A9"/>
    <w:rsid w:val="001806A3"/>
    <w:rsid w:val="001806B0"/>
    <w:rsid w:val="00181133"/>
    <w:rsid w:val="001818FF"/>
    <w:rsid w:val="00181956"/>
    <w:rsid w:val="001822EB"/>
    <w:rsid w:val="001824A0"/>
    <w:rsid w:val="00183AB3"/>
    <w:rsid w:val="001847AE"/>
    <w:rsid w:val="0018492F"/>
    <w:rsid w:val="00184F7D"/>
    <w:rsid w:val="00185CAF"/>
    <w:rsid w:val="00185E3E"/>
    <w:rsid w:val="00185F78"/>
    <w:rsid w:val="0018663F"/>
    <w:rsid w:val="001869B6"/>
    <w:rsid w:val="00186AE5"/>
    <w:rsid w:val="00186F1D"/>
    <w:rsid w:val="001877C4"/>
    <w:rsid w:val="00187D6C"/>
    <w:rsid w:val="00187E38"/>
    <w:rsid w:val="00187FE5"/>
    <w:rsid w:val="001911CE"/>
    <w:rsid w:val="00191561"/>
    <w:rsid w:val="001915F8"/>
    <w:rsid w:val="00191794"/>
    <w:rsid w:val="00191936"/>
    <w:rsid w:val="00191B5D"/>
    <w:rsid w:val="00191BFA"/>
    <w:rsid w:val="00191CA8"/>
    <w:rsid w:val="001923FE"/>
    <w:rsid w:val="001926AD"/>
    <w:rsid w:val="00192F6E"/>
    <w:rsid w:val="00193301"/>
    <w:rsid w:val="00193DD3"/>
    <w:rsid w:val="00194224"/>
    <w:rsid w:val="00194A26"/>
    <w:rsid w:val="0019572B"/>
    <w:rsid w:val="00196B9B"/>
    <w:rsid w:val="0019748D"/>
    <w:rsid w:val="0019780D"/>
    <w:rsid w:val="00197E5E"/>
    <w:rsid w:val="00197F68"/>
    <w:rsid w:val="001A029C"/>
    <w:rsid w:val="001A0334"/>
    <w:rsid w:val="001A0585"/>
    <w:rsid w:val="001A0685"/>
    <w:rsid w:val="001A0B04"/>
    <w:rsid w:val="001A1905"/>
    <w:rsid w:val="001A26FA"/>
    <w:rsid w:val="001A30D3"/>
    <w:rsid w:val="001A3580"/>
    <w:rsid w:val="001A3D28"/>
    <w:rsid w:val="001A4410"/>
    <w:rsid w:val="001A44C1"/>
    <w:rsid w:val="001A4A17"/>
    <w:rsid w:val="001A4E47"/>
    <w:rsid w:val="001A4ED1"/>
    <w:rsid w:val="001A52BB"/>
    <w:rsid w:val="001A7023"/>
    <w:rsid w:val="001A7236"/>
    <w:rsid w:val="001A7760"/>
    <w:rsid w:val="001A7EF4"/>
    <w:rsid w:val="001B055B"/>
    <w:rsid w:val="001B0A88"/>
    <w:rsid w:val="001B0AC8"/>
    <w:rsid w:val="001B1125"/>
    <w:rsid w:val="001B12B1"/>
    <w:rsid w:val="001B1526"/>
    <w:rsid w:val="001B1AB7"/>
    <w:rsid w:val="001B2DC9"/>
    <w:rsid w:val="001B316A"/>
    <w:rsid w:val="001B342A"/>
    <w:rsid w:val="001B35A4"/>
    <w:rsid w:val="001B3665"/>
    <w:rsid w:val="001B3C9A"/>
    <w:rsid w:val="001B3E57"/>
    <w:rsid w:val="001B3E61"/>
    <w:rsid w:val="001B400B"/>
    <w:rsid w:val="001B4B53"/>
    <w:rsid w:val="001B4BAB"/>
    <w:rsid w:val="001B4D9A"/>
    <w:rsid w:val="001B524E"/>
    <w:rsid w:val="001B5730"/>
    <w:rsid w:val="001B5877"/>
    <w:rsid w:val="001B68C5"/>
    <w:rsid w:val="001B74E4"/>
    <w:rsid w:val="001B7724"/>
    <w:rsid w:val="001B7E45"/>
    <w:rsid w:val="001C0B19"/>
    <w:rsid w:val="001C102C"/>
    <w:rsid w:val="001C12E0"/>
    <w:rsid w:val="001C1597"/>
    <w:rsid w:val="001C1AD1"/>
    <w:rsid w:val="001C1F59"/>
    <w:rsid w:val="001C2875"/>
    <w:rsid w:val="001C317D"/>
    <w:rsid w:val="001C36A6"/>
    <w:rsid w:val="001C36F8"/>
    <w:rsid w:val="001C3817"/>
    <w:rsid w:val="001C3F43"/>
    <w:rsid w:val="001C48D9"/>
    <w:rsid w:val="001C4BB6"/>
    <w:rsid w:val="001C52CA"/>
    <w:rsid w:val="001C5322"/>
    <w:rsid w:val="001C58C3"/>
    <w:rsid w:val="001C5B31"/>
    <w:rsid w:val="001C5E82"/>
    <w:rsid w:val="001C6978"/>
    <w:rsid w:val="001C6DC4"/>
    <w:rsid w:val="001C726F"/>
    <w:rsid w:val="001D09AD"/>
    <w:rsid w:val="001D20FB"/>
    <w:rsid w:val="001D211A"/>
    <w:rsid w:val="001D22A5"/>
    <w:rsid w:val="001D337B"/>
    <w:rsid w:val="001D350B"/>
    <w:rsid w:val="001D3682"/>
    <w:rsid w:val="001D38AF"/>
    <w:rsid w:val="001D3C3D"/>
    <w:rsid w:val="001D442C"/>
    <w:rsid w:val="001D447F"/>
    <w:rsid w:val="001D4590"/>
    <w:rsid w:val="001D4A05"/>
    <w:rsid w:val="001D4C3C"/>
    <w:rsid w:val="001D54E8"/>
    <w:rsid w:val="001D5A69"/>
    <w:rsid w:val="001D61E8"/>
    <w:rsid w:val="001D68E2"/>
    <w:rsid w:val="001D6E37"/>
    <w:rsid w:val="001D77D0"/>
    <w:rsid w:val="001D783C"/>
    <w:rsid w:val="001E002F"/>
    <w:rsid w:val="001E0B1E"/>
    <w:rsid w:val="001E118E"/>
    <w:rsid w:val="001E1578"/>
    <w:rsid w:val="001E1A04"/>
    <w:rsid w:val="001E1C17"/>
    <w:rsid w:val="001E2EB4"/>
    <w:rsid w:val="001E33BB"/>
    <w:rsid w:val="001E3426"/>
    <w:rsid w:val="001E37F9"/>
    <w:rsid w:val="001E407C"/>
    <w:rsid w:val="001E5843"/>
    <w:rsid w:val="001E5BC5"/>
    <w:rsid w:val="001E5E29"/>
    <w:rsid w:val="001E5EEC"/>
    <w:rsid w:val="001E64AA"/>
    <w:rsid w:val="001E6A07"/>
    <w:rsid w:val="001E719D"/>
    <w:rsid w:val="001E7B23"/>
    <w:rsid w:val="001E7FB1"/>
    <w:rsid w:val="001F07D0"/>
    <w:rsid w:val="001F0F84"/>
    <w:rsid w:val="001F18FD"/>
    <w:rsid w:val="001F237A"/>
    <w:rsid w:val="001F2BF4"/>
    <w:rsid w:val="001F3C29"/>
    <w:rsid w:val="001F3CDD"/>
    <w:rsid w:val="001F3E6A"/>
    <w:rsid w:val="001F3F72"/>
    <w:rsid w:val="001F433E"/>
    <w:rsid w:val="001F4DD1"/>
    <w:rsid w:val="001F57D4"/>
    <w:rsid w:val="001F59A6"/>
    <w:rsid w:val="001F6093"/>
    <w:rsid w:val="001F788D"/>
    <w:rsid w:val="001F7B5C"/>
    <w:rsid w:val="001F7D2A"/>
    <w:rsid w:val="00200D26"/>
    <w:rsid w:val="00200D9E"/>
    <w:rsid w:val="0020184F"/>
    <w:rsid w:val="0020202D"/>
    <w:rsid w:val="002025C2"/>
    <w:rsid w:val="002027F3"/>
    <w:rsid w:val="00203019"/>
    <w:rsid w:val="002034D8"/>
    <w:rsid w:val="0020361F"/>
    <w:rsid w:val="00203864"/>
    <w:rsid w:val="00204D09"/>
    <w:rsid w:val="00204E28"/>
    <w:rsid w:val="002050C5"/>
    <w:rsid w:val="00205267"/>
    <w:rsid w:val="0020566C"/>
    <w:rsid w:val="002057D8"/>
    <w:rsid w:val="0020581C"/>
    <w:rsid w:val="00205ADF"/>
    <w:rsid w:val="00205F58"/>
    <w:rsid w:val="00205FE3"/>
    <w:rsid w:val="002064F7"/>
    <w:rsid w:val="002065B6"/>
    <w:rsid w:val="00206A87"/>
    <w:rsid w:val="002073B8"/>
    <w:rsid w:val="0020765C"/>
    <w:rsid w:val="00207AA1"/>
    <w:rsid w:val="00207C54"/>
    <w:rsid w:val="002104DE"/>
    <w:rsid w:val="0021069E"/>
    <w:rsid w:val="00210F34"/>
    <w:rsid w:val="002112DC"/>
    <w:rsid w:val="002115CD"/>
    <w:rsid w:val="002127F6"/>
    <w:rsid w:val="00212951"/>
    <w:rsid w:val="00212A57"/>
    <w:rsid w:val="00213F97"/>
    <w:rsid w:val="00214652"/>
    <w:rsid w:val="002157C5"/>
    <w:rsid w:val="00215EE0"/>
    <w:rsid w:val="00216292"/>
    <w:rsid w:val="002166F0"/>
    <w:rsid w:val="00217335"/>
    <w:rsid w:val="002200B9"/>
    <w:rsid w:val="0022036B"/>
    <w:rsid w:val="0022092F"/>
    <w:rsid w:val="00220943"/>
    <w:rsid w:val="00220B5B"/>
    <w:rsid w:val="00221028"/>
    <w:rsid w:val="00221108"/>
    <w:rsid w:val="00221151"/>
    <w:rsid w:val="002213FA"/>
    <w:rsid w:val="00221AEE"/>
    <w:rsid w:val="002220F3"/>
    <w:rsid w:val="00222467"/>
    <w:rsid w:val="00222849"/>
    <w:rsid w:val="002228FE"/>
    <w:rsid w:val="00222B79"/>
    <w:rsid w:val="00222CD4"/>
    <w:rsid w:val="00223101"/>
    <w:rsid w:val="0022339F"/>
    <w:rsid w:val="00223971"/>
    <w:rsid w:val="00223DF2"/>
    <w:rsid w:val="002260AC"/>
    <w:rsid w:val="00226387"/>
    <w:rsid w:val="00226677"/>
    <w:rsid w:val="002266E8"/>
    <w:rsid w:val="002271C3"/>
    <w:rsid w:val="002278E3"/>
    <w:rsid w:val="00227B6D"/>
    <w:rsid w:val="00230626"/>
    <w:rsid w:val="00230715"/>
    <w:rsid w:val="00230894"/>
    <w:rsid w:val="00230BF5"/>
    <w:rsid w:val="00231421"/>
    <w:rsid w:val="00231472"/>
    <w:rsid w:val="00231C91"/>
    <w:rsid w:val="00232277"/>
    <w:rsid w:val="00232886"/>
    <w:rsid w:val="00233408"/>
    <w:rsid w:val="00233AFC"/>
    <w:rsid w:val="0023415B"/>
    <w:rsid w:val="002342A0"/>
    <w:rsid w:val="0023466A"/>
    <w:rsid w:val="002347C2"/>
    <w:rsid w:val="00235300"/>
    <w:rsid w:val="00235344"/>
    <w:rsid w:val="002356A5"/>
    <w:rsid w:val="002359AB"/>
    <w:rsid w:val="002359D3"/>
    <w:rsid w:val="00235A9A"/>
    <w:rsid w:val="00236065"/>
    <w:rsid w:val="002360C7"/>
    <w:rsid w:val="0023685D"/>
    <w:rsid w:val="00236DA1"/>
    <w:rsid w:val="00236E30"/>
    <w:rsid w:val="002372DA"/>
    <w:rsid w:val="002377ED"/>
    <w:rsid w:val="00237839"/>
    <w:rsid w:val="0023795A"/>
    <w:rsid w:val="002379C3"/>
    <w:rsid w:val="00240A1C"/>
    <w:rsid w:val="00241A55"/>
    <w:rsid w:val="00241B87"/>
    <w:rsid w:val="00243417"/>
    <w:rsid w:val="00244703"/>
    <w:rsid w:val="00244BF8"/>
    <w:rsid w:val="00244C2B"/>
    <w:rsid w:val="00244C7B"/>
    <w:rsid w:val="00244F97"/>
    <w:rsid w:val="00244FB5"/>
    <w:rsid w:val="00245F1F"/>
    <w:rsid w:val="00245F8E"/>
    <w:rsid w:val="00246953"/>
    <w:rsid w:val="00247739"/>
    <w:rsid w:val="0024778C"/>
    <w:rsid w:val="00247AC8"/>
    <w:rsid w:val="002503BD"/>
    <w:rsid w:val="00251545"/>
    <w:rsid w:val="00251D0F"/>
    <w:rsid w:val="00252540"/>
    <w:rsid w:val="00252912"/>
    <w:rsid w:val="00252B8F"/>
    <w:rsid w:val="002535C0"/>
    <w:rsid w:val="00253D6E"/>
    <w:rsid w:val="00253DB9"/>
    <w:rsid w:val="00253E7C"/>
    <w:rsid w:val="0025428E"/>
    <w:rsid w:val="0025441B"/>
    <w:rsid w:val="00254625"/>
    <w:rsid w:val="00254D0C"/>
    <w:rsid w:val="002553CD"/>
    <w:rsid w:val="0025581C"/>
    <w:rsid w:val="00255903"/>
    <w:rsid w:val="00255B53"/>
    <w:rsid w:val="0025613D"/>
    <w:rsid w:val="00257837"/>
    <w:rsid w:val="00257B8D"/>
    <w:rsid w:val="00257D56"/>
    <w:rsid w:val="00257DD8"/>
    <w:rsid w:val="00257F0A"/>
    <w:rsid w:val="002612F7"/>
    <w:rsid w:val="002614FE"/>
    <w:rsid w:val="00261C07"/>
    <w:rsid w:val="00261D97"/>
    <w:rsid w:val="00262E2C"/>
    <w:rsid w:val="00263260"/>
    <w:rsid w:val="00263414"/>
    <w:rsid w:val="00263F95"/>
    <w:rsid w:val="00264BFF"/>
    <w:rsid w:val="00264F91"/>
    <w:rsid w:val="0026523A"/>
    <w:rsid w:val="002657F4"/>
    <w:rsid w:val="002658AD"/>
    <w:rsid w:val="00265900"/>
    <w:rsid w:val="002659A8"/>
    <w:rsid w:val="00265ACE"/>
    <w:rsid w:val="00265D62"/>
    <w:rsid w:val="00265D88"/>
    <w:rsid w:val="002665F1"/>
    <w:rsid w:val="00266C07"/>
    <w:rsid w:val="00267002"/>
    <w:rsid w:val="0026735F"/>
    <w:rsid w:val="00267CCF"/>
    <w:rsid w:val="00267E3B"/>
    <w:rsid w:val="00267F68"/>
    <w:rsid w:val="002701DE"/>
    <w:rsid w:val="002703C4"/>
    <w:rsid w:val="00270792"/>
    <w:rsid w:val="00270D46"/>
    <w:rsid w:val="00272916"/>
    <w:rsid w:val="00272E7C"/>
    <w:rsid w:val="00273EA8"/>
    <w:rsid w:val="00274061"/>
    <w:rsid w:val="002740A3"/>
    <w:rsid w:val="0027466B"/>
    <w:rsid w:val="002747FA"/>
    <w:rsid w:val="00275340"/>
    <w:rsid w:val="002754F9"/>
    <w:rsid w:val="00275724"/>
    <w:rsid w:val="00275732"/>
    <w:rsid w:val="00275DB1"/>
    <w:rsid w:val="00276509"/>
    <w:rsid w:val="002765E6"/>
    <w:rsid w:val="00276A8A"/>
    <w:rsid w:val="00276B1F"/>
    <w:rsid w:val="002775DD"/>
    <w:rsid w:val="002778B1"/>
    <w:rsid w:val="00277998"/>
    <w:rsid w:val="00277CEF"/>
    <w:rsid w:val="0028004E"/>
    <w:rsid w:val="00280926"/>
    <w:rsid w:val="00281060"/>
    <w:rsid w:val="00281695"/>
    <w:rsid w:val="002817C6"/>
    <w:rsid w:val="00281D25"/>
    <w:rsid w:val="0028248E"/>
    <w:rsid w:val="00283648"/>
    <w:rsid w:val="002836F2"/>
    <w:rsid w:val="00283A49"/>
    <w:rsid w:val="00283D41"/>
    <w:rsid w:val="00283E56"/>
    <w:rsid w:val="0028488A"/>
    <w:rsid w:val="00284A02"/>
    <w:rsid w:val="00284AEC"/>
    <w:rsid w:val="00285C8E"/>
    <w:rsid w:val="00286A2C"/>
    <w:rsid w:val="0028738E"/>
    <w:rsid w:val="00287992"/>
    <w:rsid w:val="00290555"/>
    <w:rsid w:val="002906C0"/>
    <w:rsid w:val="00290F3A"/>
    <w:rsid w:val="002916EF"/>
    <w:rsid w:val="00291FD9"/>
    <w:rsid w:val="002925C8"/>
    <w:rsid w:val="00292705"/>
    <w:rsid w:val="00293337"/>
    <w:rsid w:val="0029350F"/>
    <w:rsid w:val="002935B7"/>
    <w:rsid w:val="00293AF6"/>
    <w:rsid w:val="00293EF8"/>
    <w:rsid w:val="00293F84"/>
    <w:rsid w:val="00294387"/>
    <w:rsid w:val="00294796"/>
    <w:rsid w:val="002948E9"/>
    <w:rsid w:val="0029499E"/>
    <w:rsid w:val="00294B68"/>
    <w:rsid w:val="00294D8A"/>
    <w:rsid w:val="00294F28"/>
    <w:rsid w:val="002950BB"/>
    <w:rsid w:val="002953F2"/>
    <w:rsid w:val="002957A2"/>
    <w:rsid w:val="00295806"/>
    <w:rsid w:val="00296390"/>
    <w:rsid w:val="002967C0"/>
    <w:rsid w:val="00296D51"/>
    <w:rsid w:val="002975EE"/>
    <w:rsid w:val="00297F88"/>
    <w:rsid w:val="002A0789"/>
    <w:rsid w:val="002A0F76"/>
    <w:rsid w:val="002A0F89"/>
    <w:rsid w:val="002A130B"/>
    <w:rsid w:val="002A13E4"/>
    <w:rsid w:val="002A17B5"/>
    <w:rsid w:val="002A1C30"/>
    <w:rsid w:val="002A2105"/>
    <w:rsid w:val="002A23CA"/>
    <w:rsid w:val="002A27DB"/>
    <w:rsid w:val="002A30FC"/>
    <w:rsid w:val="002A336D"/>
    <w:rsid w:val="002A69A6"/>
    <w:rsid w:val="002A69D7"/>
    <w:rsid w:val="002A6BB5"/>
    <w:rsid w:val="002A6D28"/>
    <w:rsid w:val="002A7034"/>
    <w:rsid w:val="002A78C3"/>
    <w:rsid w:val="002A7C93"/>
    <w:rsid w:val="002B094E"/>
    <w:rsid w:val="002B0ED7"/>
    <w:rsid w:val="002B1211"/>
    <w:rsid w:val="002B181F"/>
    <w:rsid w:val="002B1E41"/>
    <w:rsid w:val="002B26CC"/>
    <w:rsid w:val="002B2D15"/>
    <w:rsid w:val="002B37D8"/>
    <w:rsid w:val="002B3D28"/>
    <w:rsid w:val="002B40B1"/>
    <w:rsid w:val="002B414D"/>
    <w:rsid w:val="002B4662"/>
    <w:rsid w:val="002B4F3E"/>
    <w:rsid w:val="002B5994"/>
    <w:rsid w:val="002B5B88"/>
    <w:rsid w:val="002B5E87"/>
    <w:rsid w:val="002B6111"/>
    <w:rsid w:val="002B7287"/>
    <w:rsid w:val="002B7FAE"/>
    <w:rsid w:val="002C0707"/>
    <w:rsid w:val="002C0C0C"/>
    <w:rsid w:val="002C0F5E"/>
    <w:rsid w:val="002C127E"/>
    <w:rsid w:val="002C1BAF"/>
    <w:rsid w:val="002C1CD1"/>
    <w:rsid w:val="002C1E38"/>
    <w:rsid w:val="002C2356"/>
    <w:rsid w:val="002C242A"/>
    <w:rsid w:val="002C282A"/>
    <w:rsid w:val="002C3357"/>
    <w:rsid w:val="002C3513"/>
    <w:rsid w:val="002C42D2"/>
    <w:rsid w:val="002C6099"/>
    <w:rsid w:val="002C6C92"/>
    <w:rsid w:val="002C6EE6"/>
    <w:rsid w:val="002C7129"/>
    <w:rsid w:val="002C7B01"/>
    <w:rsid w:val="002D014D"/>
    <w:rsid w:val="002D01FE"/>
    <w:rsid w:val="002D05EE"/>
    <w:rsid w:val="002D11CB"/>
    <w:rsid w:val="002D1750"/>
    <w:rsid w:val="002D1B5C"/>
    <w:rsid w:val="002D225C"/>
    <w:rsid w:val="002D24D5"/>
    <w:rsid w:val="002D2A47"/>
    <w:rsid w:val="002D2E62"/>
    <w:rsid w:val="002D35F6"/>
    <w:rsid w:val="002D41E2"/>
    <w:rsid w:val="002D4551"/>
    <w:rsid w:val="002D49E8"/>
    <w:rsid w:val="002D4B41"/>
    <w:rsid w:val="002D5401"/>
    <w:rsid w:val="002D54F8"/>
    <w:rsid w:val="002D62C8"/>
    <w:rsid w:val="002D6332"/>
    <w:rsid w:val="002D691C"/>
    <w:rsid w:val="002D6D99"/>
    <w:rsid w:val="002D744C"/>
    <w:rsid w:val="002E018B"/>
    <w:rsid w:val="002E02AF"/>
    <w:rsid w:val="002E0D5F"/>
    <w:rsid w:val="002E1104"/>
    <w:rsid w:val="002E13CB"/>
    <w:rsid w:val="002E16E7"/>
    <w:rsid w:val="002E17A4"/>
    <w:rsid w:val="002E1B70"/>
    <w:rsid w:val="002E20E6"/>
    <w:rsid w:val="002E2419"/>
    <w:rsid w:val="002E2846"/>
    <w:rsid w:val="002E2E22"/>
    <w:rsid w:val="002E3B8D"/>
    <w:rsid w:val="002E3C9A"/>
    <w:rsid w:val="002E4224"/>
    <w:rsid w:val="002E45C9"/>
    <w:rsid w:val="002E518B"/>
    <w:rsid w:val="002E52E7"/>
    <w:rsid w:val="002E5605"/>
    <w:rsid w:val="002E62FC"/>
    <w:rsid w:val="002E69A3"/>
    <w:rsid w:val="002E6A61"/>
    <w:rsid w:val="002E6AA6"/>
    <w:rsid w:val="002E6B3D"/>
    <w:rsid w:val="002E6D5F"/>
    <w:rsid w:val="002E733F"/>
    <w:rsid w:val="002E7A2E"/>
    <w:rsid w:val="002E7F0A"/>
    <w:rsid w:val="002F03C2"/>
    <w:rsid w:val="002F044E"/>
    <w:rsid w:val="002F04D5"/>
    <w:rsid w:val="002F0947"/>
    <w:rsid w:val="002F0D64"/>
    <w:rsid w:val="002F150F"/>
    <w:rsid w:val="002F1CA7"/>
    <w:rsid w:val="002F1E95"/>
    <w:rsid w:val="002F2FFD"/>
    <w:rsid w:val="002F34AD"/>
    <w:rsid w:val="002F3576"/>
    <w:rsid w:val="002F38B2"/>
    <w:rsid w:val="002F3A0E"/>
    <w:rsid w:val="002F467E"/>
    <w:rsid w:val="002F4E14"/>
    <w:rsid w:val="002F562C"/>
    <w:rsid w:val="002F57B5"/>
    <w:rsid w:val="002F5B35"/>
    <w:rsid w:val="002F5C13"/>
    <w:rsid w:val="002F651F"/>
    <w:rsid w:val="002F686E"/>
    <w:rsid w:val="002F6D87"/>
    <w:rsid w:val="002F6F21"/>
    <w:rsid w:val="002F72B1"/>
    <w:rsid w:val="002F7720"/>
    <w:rsid w:val="002F7914"/>
    <w:rsid w:val="0030013D"/>
    <w:rsid w:val="00301275"/>
    <w:rsid w:val="00301778"/>
    <w:rsid w:val="003017C2"/>
    <w:rsid w:val="00301CEA"/>
    <w:rsid w:val="003023A4"/>
    <w:rsid w:val="0030385E"/>
    <w:rsid w:val="0030446C"/>
    <w:rsid w:val="003044C2"/>
    <w:rsid w:val="00304576"/>
    <w:rsid w:val="00304EC4"/>
    <w:rsid w:val="00304F3B"/>
    <w:rsid w:val="00304F5A"/>
    <w:rsid w:val="00305265"/>
    <w:rsid w:val="00305351"/>
    <w:rsid w:val="00305EE0"/>
    <w:rsid w:val="0030674E"/>
    <w:rsid w:val="003069F7"/>
    <w:rsid w:val="00306E5F"/>
    <w:rsid w:val="00306E67"/>
    <w:rsid w:val="00307692"/>
    <w:rsid w:val="0030798E"/>
    <w:rsid w:val="00307A54"/>
    <w:rsid w:val="00307C1B"/>
    <w:rsid w:val="0031049C"/>
    <w:rsid w:val="00310F41"/>
    <w:rsid w:val="00311EEE"/>
    <w:rsid w:val="0031267B"/>
    <w:rsid w:val="00312B7B"/>
    <w:rsid w:val="00312F4B"/>
    <w:rsid w:val="0031387C"/>
    <w:rsid w:val="00313DDE"/>
    <w:rsid w:val="0031469E"/>
    <w:rsid w:val="00315C67"/>
    <w:rsid w:val="003162D2"/>
    <w:rsid w:val="0031700E"/>
    <w:rsid w:val="00317076"/>
    <w:rsid w:val="003170D9"/>
    <w:rsid w:val="00320337"/>
    <w:rsid w:val="00320563"/>
    <w:rsid w:val="00320C22"/>
    <w:rsid w:val="00320DC1"/>
    <w:rsid w:val="00320F7A"/>
    <w:rsid w:val="00321582"/>
    <w:rsid w:val="00321B94"/>
    <w:rsid w:val="00323F8B"/>
    <w:rsid w:val="003243B2"/>
    <w:rsid w:val="00324F50"/>
    <w:rsid w:val="00325A8E"/>
    <w:rsid w:val="00325E02"/>
    <w:rsid w:val="003267F9"/>
    <w:rsid w:val="00327605"/>
    <w:rsid w:val="0032782C"/>
    <w:rsid w:val="003279C7"/>
    <w:rsid w:val="00327D75"/>
    <w:rsid w:val="0033009E"/>
    <w:rsid w:val="003304AF"/>
    <w:rsid w:val="003308E9"/>
    <w:rsid w:val="00330D8B"/>
    <w:rsid w:val="00331C74"/>
    <w:rsid w:val="00333076"/>
    <w:rsid w:val="0033365A"/>
    <w:rsid w:val="00334234"/>
    <w:rsid w:val="003343DD"/>
    <w:rsid w:val="00334683"/>
    <w:rsid w:val="00334AEF"/>
    <w:rsid w:val="00334CE9"/>
    <w:rsid w:val="0033589C"/>
    <w:rsid w:val="003358E8"/>
    <w:rsid w:val="003359BE"/>
    <w:rsid w:val="00335C71"/>
    <w:rsid w:val="00335E16"/>
    <w:rsid w:val="00336081"/>
    <w:rsid w:val="0033651F"/>
    <w:rsid w:val="00336603"/>
    <w:rsid w:val="003366BD"/>
    <w:rsid w:val="0033698D"/>
    <w:rsid w:val="003369EB"/>
    <w:rsid w:val="00336E62"/>
    <w:rsid w:val="0033739C"/>
    <w:rsid w:val="003375E8"/>
    <w:rsid w:val="00337A5D"/>
    <w:rsid w:val="00337D55"/>
    <w:rsid w:val="00337DD3"/>
    <w:rsid w:val="003402C3"/>
    <w:rsid w:val="00340CA5"/>
    <w:rsid w:val="00340E47"/>
    <w:rsid w:val="00341B69"/>
    <w:rsid w:val="00342318"/>
    <w:rsid w:val="003432C5"/>
    <w:rsid w:val="0034344B"/>
    <w:rsid w:val="003434B3"/>
    <w:rsid w:val="003438E7"/>
    <w:rsid w:val="00343ED4"/>
    <w:rsid w:val="003448DC"/>
    <w:rsid w:val="00345B43"/>
    <w:rsid w:val="00345BA3"/>
    <w:rsid w:val="00345C45"/>
    <w:rsid w:val="00345C8C"/>
    <w:rsid w:val="00346CB5"/>
    <w:rsid w:val="00347BFE"/>
    <w:rsid w:val="00347CC3"/>
    <w:rsid w:val="00350114"/>
    <w:rsid w:val="00350332"/>
    <w:rsid w:val="003507D4"/>
    <w:rsid w:val="00350F1C"/>
    <w:rsid w:val="00351412"/>
    <w:rsid w:val="00352122"/>
    <w:rsid w:val="00352981"/>
    <w:rsid w:val="00352AC0"/>
    <w:rsid w:val="00353023"/>
    <w:rsid w:val="0035303A"/>
    <w:rsid w:val="00353562"/>
    <w:rsid w:val="0035399F"/>
    <w:rsid w:val="00353FDF"/>
    <w:rsid w:val="0035417F"/>
    <w:rsid w:val="0035430B"/>
    <w:rsid w:val="00354A0E"/>
    <w:rsid w:val="00354C8C"/>
    <w:rsid w:val="00354F1A"/>
    <w:rsid w:val="00354F41"/>
    <w:rsid w:val="003553FA"/>
    <w:rsid w:val="00356551"/>
    <w:rsid w:val="00356655"/>
    <w:rsid w:val="0035685F"/>
    <w:rsid w:val="00356A39"/>
    <w:rsid w:val="00357709"/>
    <w:rsid w:val="00357900"/>
    <w:rsid w:val="00357CAB"/>
    <w:rsid w:val="0036018B"/>
    <w:rsid w:val="00360443"/>
    <w:rsid w:val="003606D1"/>
    <w:rsid w:val="0036087B"/>
    <w:rsid w:val="0036092E"/>
    <w:rsid w:val="00360D47"/>
    <w:rsid w:val="003612EF"/>
    <w:rsid w:val="00361321"/>
    <w:rsid w:val="0036132C"/>
    <w:rsid w:val="0036135D"/>
    <w:rsid w:val="003613EC"/>
    <w:rsid w:val="003615E4"/>
    <w:rsid w:val="00361D52"/>
    <w:rsid w:val="00362278"/>
    <w:rsid w:val="00362312"/>
    <w:rsid w:val="00362647"/>
    <w:rsid w:val="00362A98"/>
    <w:rsid w:val="00362E66"/>
    <w:rsid w:val="00362FA9"/>
    <w:rsid w:val="00363A68"/>
    <w:rsid w:val="00364BEF"/>
    <w:rsid w:val="00365293"/>
    <w:rsid w:val="00365545"/>
    <w:rsid w:val="003668FE"/>
    <w:rsid w:val="0036696E"/>
    <w:rsid w:val="00366D08"/>
    <w:rsid w:val="00367647"/>
    <w:rsid w:val="003677DE"/>
    <w:rsid w:val="00367BFA"/>
    <w:rsid w:val="00367C15"/>
    <w:rsid w:val="00367D9A"/>
    <w:rsid w:val="00370463"/>
    <w:rsid w:val="003705E6"/>
    <w:rsid w:val="00370822"/>
    <w:rsid w:val="00370BD9"/>
    <w:rsid w:val="0037126B"/>
    <w:rsid w:val="00371333"/>
    <w:rsid w:val="003716B4"/>
    <w:rsid w:val="00371976"/>
    <w:rsid w:val="00371B68"/>
    <w:rsid w:val="00371CA9"/>
    <w:rsid w:val="00371F36"/>
    <w:rsid w:val="00372151"/>
    <w:rsid w:val="00372543"/>
    <w:rsid w:val="00372C46"/>
    <w:rsid w:val="003731E3"/>
    <w:rsid w:val="00374086"/>
    <w:rsid w:val="00374207"/>
    <w:rsid w:val="00374A90"/>
    <w:rsid w:val="00375185"/>
    <w:rsid w:val="00375229"/>
    <w:rsid w:val="00375F8A"/>
    <w:rsid w:val="0037608B"/>
    <w:rsid w:val="00376C0A"/>
    <w:rsid w:val="0037714B"/>
    <w:rsid w:val="003773A8"/>
    <w:rsid w:val="0037751E"/>
    <w:rsid w:val="00377BCC"/>
    <w:rsid w:val="003803F1"/>
    <w:rsid w:val="00380C20"/>
    <w:rsid w:val="00380F86"/>
    <w:rsid w:val="00380FB9"/>
    <w:rsid w:val="003811B1"/>
    <w:rsid w:val="003817BE"/>
    <w:rsid w:val="00381C8B"/>
    <w:rsid w:val="00382799"/>
    <w:rsid w:val="0038289B"/>
    <w:rsid w:val="00382A9E"/>
    <w:rsid w:val="003834F4"/>
    <w:rsid w:val="003838ED"/>
    <w:rsid w:val="003844C4"/>
    <w:rsid w:val="00384F98"/>
    <w:rsid w:val="00385089"/>
    <w:rsid w:val="003856E5"/>
    <w:rsid w:val="00385B1E"/>
    <w:rsid w:val="00386931"/>
    <w:rsid w:val="003871EF"/>
    <w:rsid w:val="00387461"/>
    <w:rsid w:val="003877CB"/>
    <w:rsid w:val="0039029A"/>
    <w:rsid w:val="00391074"/>
    <w:rsid w:val="00391248"/>
    <w:rsid w:val="003932D6"/>
    <w:rsid w:val="00393822"/>
    <w:rsid w:val="00393C2C"/>
    <w:rsid w:val="00393CB4"/>
    <w:rsid w:val="00393ED3"/>
    <w:rsid w:val="00394278"/>
    <w:rsid w:val="00395154"/>
    <w:rsid w:val="00395A9F"/>
    <w:rsid w:val="003960B7"/>
    <w:rsid w:val="00396826"/>
    <w:rsid w:val="00396E21"/>
    <w:rsid w:val="00396E4B"/>
    <w:rsid w:val="00396F94"/>
    <w:rsid w:val="003971E3"/>
    <w:rsid w:val="00397997"/>
    <w:rsid w:val="00397ACF"/>
    <w:rsid w:val="003A01A1"/>
    <w:rsid w:val="003A0FC3"/>
    <w:rsid w:val="003A12F4"/>
    <w:rsid w:val="003A1FB7"/>
    <w:rsid w:val="003A1FDD"/>
    <w:rsid w:val="003A211A"/>
    <w:rsid w:val="003A2277"/>
    <w:rsid w:val="003A227D"/>
    <w:rsid w:val="003A22F1"/>
    <w:rsid w:val="003A26F8"/>
    <w:rsid w:val="003A2C71"/>
    <w:rsid w:val="003A32C8"/>
    <w:rsid w:val="003A3332"/>
    <w:rsid w:val="003A38C5"/>
    <w:rsid w:val="003A4271"/>
    <w:rsid w:val="003A4553"/>
    <w:rsid w:val="003A457F"/>
    <w:rsid w:val="003A4782"/>
    <w:rsid w:val="003A4830"/>
    <w:rsid w:val="003A5D56"/>
    <w:rsid w:val="003A6742"/>
    <w:rsid w:val="003A6743"/>
    <w:rsid w:val="003A7304"/>
    <w:rsid w:val="003A7377"/>
    <w:rsid w:val="003A737D"/>
    <w:rsid w:val="003A7B2B"/>
    <w:rsid w:val="003A7D38"/>
    <w:rsid w:val="003A7DD9"/>
    <w:rsid w:val="003A7F99"/>
    <w:rsid w:val="003B0408"/>
    <w:rsid w:val="003B220C"/>
    <w:rsid w:val="003B2266"/>
    <w:rsid w:val="003B2750"/>
    <w:rsid w:val="003B2DE6"/>
    <w:rsid w:val="003B31AD"/>
    <w:rsid w:val="003B38BA"/>
    <w:rsid w:val="003B4D35"/>
    <w:rsid w:val="003B658E"/>
    <w:rsid w:val="003B6A90"/>
    <w:rsid w:val="003B6B85"/>
    <w:rsid w:val="003B6EB1"/>
    <w:rsid w:val="003B7611"/>
    <w:rsid w:val="003B791B"/>
    <w:rsid w:val="003B7F9E"/>
    <w:rsid w:val="003C0175"/>
    <w:rsid w:val="003C0612"/>
    <w:rsid w:val="003C0B7D"/>
    <w:rsid w:val="003C1371"/>
    <w:rsid w:val="003C19F7"/>
    <w:rsid w:val="003C2A0C"/>
    <w:rsid w:val="003C30AE"/>
    <w:rsid w:val="003C310C"/>
    <w:rsid w:val="003C32B2"/>
    <w:rsid w:val="003C3AE1"/>
    <w:rsid w:val="003C4450"/>
    <w:rsid w:val="003C4533"/>
    <w:rsid w:val="003C49B1"/>
    <w:rsid w:val="003C4BE5"/>
    <w:rsid w:val="003C5100"/>
    <w:rsid w:val="003C62D8"/>
    <w:rsid w:val="003C6E8C"/>
    <w:rsid w:val="003C6EA5"/>
    <w:rsid w:val="003C77D7"/>
    <w:rsid w:val="003C7C89"/>
    <w:rsid w:val="003D0B12"/>
    <w:rsid w:val="003D132D"/>
    <w:rsid w:val="003D1672"/>
    <w:rsid w:val="003D1998"/>
    <w:rsid w:val="003D1BE4"/>
    <w:rsid w:val="003D279D"/>
    <w:rsid w:val="003D3674"/>
    <w:rsid w:val="003D39CC"/>
    <w:rsid w:val="003D3CD9"/>
    <w:rsid w:val="003D3EE4"/>
    <w:rsid w:val="003D40AA"/>
    <w:rsid w:val="003D4C83"/>
    <w:rsid w:val="003D52B1"/>
    <w:rsid w:val="003D5B90"/>
    <w:rsid w:val="003D5BB4"/>
    <w:rsid w:val="003D6528"/>
    <w:rsid w:val="003D6B15"/>
    <w:rsid w:val="003D6F2C"/>
    <w:rsid w:val="003E007E"/>
    <w:rsid w:val="003E0A5C"/>
    <w:rsid w:val="003E0DF4"/>
    <w:rsid w:val="003E2309"/>
    <w:rsid w:val="003E2EB9"/>
    <w:rsid w:val="003E2EF9"/>
    <w:rsid w:val="003E3323"/>
    <w:rsid w:val="003E37F6"/>
    <w:rsid w:val="003E424A"/>
    <w:rsid w:val="003E461B"/>
    <w:rsid w:val="003E4DA2"/>
    <w:rsid w:val="003E5057"/>
    <w:rsid w:val="003E5112"/>
    <w:rsid w:val="003E51D3"/>
    <w:rsid w:val="003E561D"/>
    <w:rsid w:val="003E5A96"/>
    <w:rsid w:val="003E5F47"/>
    <w:rsid w:val="003E6703"/>
    <w:rsid w:val="003E6A6C"/>
    <w:rsid w:val="003E6D96"/>
    <w:rsid w:val="003E7419"/>
    <w:rsid w:val="003F0DC7"/>
    <w:rsid w:val="003F0FEC"/>
    <w:rsid w:val="003F11FE"/>
    <w:rsid w:val="003F185F"/>
    <w:rsid w:val="003F2C99"/>
    <w:rsid w:val="003F3B10"/>
    <w:rsid w:val="003F3B7B"/>
    <w:rsid w:val="003F3C63"/>
    <w:rsid w:val="003F3E30"/>
    <w:rsid w:val="003F40B5"/>
    <w:rsid w:val="003F43DD"/>
    <w:rsid w:val="003F452A"/>
    <w:rsid w:val="003F4750"/>
    <w:rsid w:val="003F4AB3"/>
    <w:rsid w:val="003F500E"/>
    <w:rsid w:val="003F50BE"/>
    <w:rsid w:val="003F56A8"/>
    <w:rsid w:val="003F57CA"/>
    <w:rsid w:val="00400D86"/>
    <w:rsid w:val="0040242F"/>
    <w:rsid w:val="00402610"/>
    <w:rsid w:val="004030DD"/>
    <w:rsid w:val="00403612"/>
    <w:rsid w:val="00404840"/>
    <w:rsid w:val="00405557"/>
    <w:rsid w:val="004067A2"/>
    <w:rsid w:val="00406D6E"/>
    <w:rsid w:val="00407119"/>
    <w:rsid w:val="004108F3"/>
    <w:rsid w:val="004109CB"/>
    <w:rsid w:val="00410BD3"/>
    <w:rsid w:val="00410E89"/>
    <w:rsid w:val="004110B0"/>
    <w:rsid w:val="004113D2"/>
    <w:rsid w:val="0041184C"/>
    <w:rsid w:val="00411EB6"/>
    <w:rsid w:val="00412230"/>
    <w:rsid w:val="004127B2"/>
    <w:rsid w:val="00412F65"/>
    <w:rsid w:val="004130AC"/>
    <w:rsid w:val="004133DB"/>
    <w:rsid w:val="00413729"/>
    <w:rsid w:val="0041398F"/>
    <w:rsid w:val="00413BE4"/>
    <w:rsid w:val="0041467E"/>
    <w:rsid w:val="00415498"/>
    <w:rsid w:val="00415734"/>
    <w:rsid w:val="004158BA"/>
    <w:rsid w:val="00416CC1"/>
    <w:rsid w:val="004170F4"/>
    <w:rsid w:val="00420E85"/>
    <w:rsid w:val="00421354"/>
    <w:rsid w:val="00421ADE"/>
    <w:rsid w:val="00422594"/>
    <w:rsid w:val="00422E6B"/>
    <w:rsid w:val="004230D3"/>
    <w:rsid w:val="0042331B"/>
    <w:rsid w:val="00423FE2"/>
    <w:rsid w:val="00424299"/>
    <w:rsid w:val="00424742"/>
    <w:rsid w:val="004248F2"/>
    <w:rsid w:val="00424A6E"/>
    <w:rsid w:val="00425845"/>
    <w:rsid w:val="00425DA3"/>
    <w:rsid w:val="00425FE2"/>
    <w:rsid w:val="004269F5"/>
    <w:rsid w:val="0042765D"/>
    <w:rsid w:val="00427F6F"/>
    <w:rsid w:val="00430114"/>
    <w:rsid w:val="0043046B"/>
    <w:rsid w:val="00430CF9"/>
    <w:rsid w:val="00430E20"/>
    <w:rsid w:val="00431801"/>
    <w:rsid w:val="00431AAB"/>
    <w:rsid w:val="00432B31"/>
    <w:rsid w:val="00432FB9"/>
    <w:rsid w:val="00433D1F"/>
    <w:rsid w:val="00433DFD"/>
    <w:rsid w:val="0043416A"/>
    <w:rsid w:val="00434D8E"/>
    <w:rsid w:val="00435783"/>
    <w:rsid w:val="004357CA"/>
    <w:rsid w:val="00435D2F"/>
    <w:rsid w:val="00436303"/>
    <w:rsid w:val="00437428"/>
    <w:rsid w:val="00437C70"/>
    <w:rsid w:val="00437D60"/>
    <w:rsid w:val="00437E54"/>
    <w:rsid w:val="00440537"/>
    <w:rsid w:val="004408C6"/>
    <w:rsid w:val="00440F8F"/>
    <w:rsid w:val="00441A6B"/>
    <w:rsid w:val="00441F38"/>
    <w:rsid w:val="004439B8"/>
    <w:rsid w:val="00444696"/>
    <w:rsid w:val="00445C68"/>
    <w:rsid w:val="00445DC3"/>
    <w:rsid w:val="004465D3"/>
    <w:rsid w:val="0044669E"/>
    <w:rsid w:val="0044678A"/>
    <w:rsid w:val="00446BA5"/>
    <w:rsid w:val="00447379"/>
    <w:rsid w:val="00447575"/>
    <w:rsid w:val="00447A85"/>
    <w:rsid w:val="00447E60"/>
    <w:rsid w:val="004500E1"/>
    <w:rsid w:val="00450931"/>
    <w:rsid w:val="00451C33"/>
    <w:rsid w:val="00451FB3"/>
    <w:rsid w:val="004524B8"/>
    <w:rsid w:val="004538AB"/>
    <w:rsid w:val="00453A45"/>
    <w:rsid w:val="004546BC"/>
    <w:rsid w:val="004558A5"/>
    <w:rsid w:val="004562A8"/>
    <w:rsid w:val="00456F3A"/>
    <w:rsid w:val="00456F5E"/>
    <w:rsid w:val="004574CD"/>
    <w:rsid w:val="00457849"/>
    <w:rsid w:val="004579EB"/>
    <w:rsid w:val="004606E9"/>
    <w:rsid w:val="00460C8D"/>
    <w:rsid w:val="00460EC0"/>
    <w:rsid w:val="004612D8"/>
    <w:rsid w:val="004613C9"/>
    <w:rsid w:val="0046195D"/>
    <w:rsid w:val="00461E0A"/>
    <w:rsid w:val="00462525"/>
    <w:rsid w:val="00462568"/>
    <w:rsid w:val="004626F6"/>
    <w:rsid w:val="00462F4A"/>
    <w:rsid w:val="00463066"/>
    <w:rsid w:val="004634A4"/>
    <w:rsid w:val="00463C28"/>
    <w:rsid w:val="00463CF8"/>
    <w:rsid w:val="00463F6D"/>
    <w:rsid w:val="00464A5E"/>
    <w:rsid w:val="00464C03"/>
    <w:rsid w:val="0046500A"/>
    <w:rsid w:val="00465AD0"/>
    <w:rsid w:val="00465D01"/>
    <w:rsid w:val="00466693"/>
    <w:rsid w:val="00467297"/>
    <w:rsid w:val="004672A9"/>
    <w:rsid w:val="00467428"/>
    <w:rsid w:val="00470A08"/>
    <w:rsid w:val="0047181E"/>
    <w:rsid w:val="0047269F"/>
    <w:rsid w:val="00472B57"/>
    <w:rsid w:val="00472C45"/>
    <w:rsid w:val="004734D8"/>
    <w:rsid w:val="0047412F"/>
    <w:rsid w:val="0047455C"/>
    <w:rsid w:val="004748B5"/>
    <w:rsid w:val="00475654"/>
    <w:rsid w:val="00475C58"/>
    <w:rsid w:val="00476309"/>
    <w:rsid w:val="00476BC7"/>
    <w:rsid w:val="00476F93"/>
    <w:rsid w:val="00477292"/>
    <w:rsid w:val="004773FF"/>
    <w:rsid w:val="0048084E"/>
    <w:rsid w:val="0048149F"/>
    <w:rsid w:val="0048153A"/>
    <w:rsid w:val="00481677"/>
    <w:rsid w:val="0048171A"/>
    <w:rsid w:val="00481F75"/>
    <w:rsid w:val="00482C38"/>
    <w:rsid w:val="00483850"/>
    <w:rsid w:val="00483B21"/>
    <w:rsid w:val="00483E2B"/>
    <w:rsid w:val="004842AC"/>
    <w:rsid w:val="00484B01"/>
    <w:rsid w:val="00485C17"/>
    <w:rsid w:val="004862ED"/>
    <w:rsid w:val="00486662"/>
    <w:rsid w:val="00486B67"/>
    <w:rsid w:val="00486C2C"/>
    <w:rsid w:val="00486E7F"/>
    <w:rsid w:val="004870DF"/>
    <w:rsid w:val="00487240"/>
    <w:rsid w:val="004878DF"/>
    <w:rsid w:val="00487AA0"/>
    <w:rsid w:val="00487E9D"/>
    <w:rsid w:val="00490056"/>
    <w:rsid w:val="004900F3"/>
    <w:rsid w:val="00490641"/>
    <w:rsid w:val="004907DD"/>
    <w:rsid w:val="00490C52"/>
    <w:rsid w:val="00490E93"/>
    <w:rsid w:val="004918C1"/>
    <w:rsid w:val="00491966"/>
    <w:rsid w:val="00491AB4"/>
    <w:rsid w:val="00491BDD"/>
    <w:rsid w:val="0049283D"/>
    <w:rsid w:val="0049300C"/>
    <w:rsid w:val="0049333B"/>
    <w:rsid w:val="004934AA"/>
    <w:rsid w:val="004938DF"/>
    <w:rsid w:val="00493BCB"/>
    <w:rsid w:val="0049427F"/>
    <w:rsid w:val="004943F2"/>
    <w:rsid w:val="00494D65"/>
    <w:rsid w:val="00495203"/>
    <w:rsid w:val="00495C3A"/>
    <w:rsid w:val="00496249"/>
    <w:rsid w:val="004965D3"/>
    <w:rsid w:val="00496FA3"/>
    <w:rsid w:val="00497345"/>
    <w:rsid w:val="00497859"/>
    <w:rsid w:val="004A0566"/>
    <w:rsid w:val="004A08E1"/>
    <w:rsid w:val="004A1244"/>
    <w:rsid w:val="004A2554"/>
    <w:rsid w:val="004A2910"/>
    <w:rsid w:val="004A2C4F"/>
    <w:rsid w:val="004A348F"/>
    <w:rsid w:val="004A35D0"/>
    <w:rsid w:val="004A3AED"/>
    <w:rsid w:val="004A3C99"/>
    <w:rsid w:val="004A49D3"/>
    <w:rsid w:val="004A5702"/>
    <w:rsid w:val="004A6072"/>
    <w:rsid w:val="004A6F1C"/>
    <w:rsid w:val="004A6FCF"/>
    <w:rsid w:val="004A78C2"/>
    <w:rsid w:val="004A7AE1"/>
    <w:rsid w:val="004B0529"/>
    <w:rsid w:val="004B15A4"/>
    <w:rsid w:val="004B19AA"/>
    <w:rsid w:val="004B1F74"/>
    <w:rsid w:val="004B21E4"/>
    <w:rsid w:val="004B2505"/>
    <w:rsid w:val="004B39BF"/>
    <w:rsid w:val="004B4766"/>
    <w:rsid w:val="004B47FA"/>
    <w:rsid w:val="004B50B2"/>
    <w:rsid w:val="004B5425"/>
    <w:rsid w:val="004B5BA4"/>
    <w:rsid w:val="004B5F73"/>
    <w:rsid w:val="004B638A"/>
    <w:rsid w:val="004B65CF"/>
    <w:rsid w:val="004B6631"/>
    <w:rsid w:val="004B673C"/>
    <w:rsid w:val="004B6C69"/>
    <w:rsid w:val="004B7B2B"/>
    <w:rsid w:val="004C0532"/>
    <w:rsid w:val="004C0559"/>
    <w:rsid w:val="004C0C2A"/>
    <w:rsid w:val="004C0F3D"/>
    <w:rsid w:val="004C1409"/>
    <w:rsid w:val="004C143C"/>
    <w:rsid w:val="004C1A19"/>
    <w:rsid w:val="004C205A"/>
    <w:rsid w:val="004C3EF0"/>
    <w:rsid w:val="004C4096"/>
    <w:rsid w:val="004C4135"/>
    <w:rsid w:val="004C45E3"/>
    <w:rsid w:val="004C4603"/>
    <w:rsid w:val="004C50DC"/>
    <w:rsid w:val="004C512B"/>
    <w:rsid w:val="004C7565"/>
    <w:rsid w:val="004C7615"/>
    <w:rsid w:val="004C769A"/>
    <w:rsid w:val="004C773F"/>
    <w:rsid w:val="004D0165"/>
    <w:rsid w:val="004D0CD5"/>
    <w:rsid w:val="004D1116"/>
    <w:rsid w:val="004D2B76"/>
    <w:rsid w:val="004D2CB0"/>
    <w:rsid w:val="004D3084"/>
    <w:rsid w:val="004D3555"/>
    <w:rsid w:val="004D37E3"/>
    <w:rsid w:val="004D3A3D"/>
    <w:rsid w:val="004D427A"/>
    <w:rsid w:val="004D444E"/>
    <w:rsid w:val="004D5329"/>
    <w:rsid w:val="004D62C0"/>
    <w:rsid w:val="004D6377"/>
    <w:rsid w:val="004D646F"/>
    <w:rsid w:val="004D6579"/>
    <w:rsid w:val="004D6A7B"/>
    <w:rsid w:val="004D73A9"/>
    <w:rsid w:val="004D7521"/>
    <w:rsid w:val="004D7BD7"/>
    <w:rsid w:val="004E029E"/>
    <w:rsid w:val="004E1C6D"/>
    <w:rsid w:val="004E23C7"/>
    <w:rsid w:val="004E3147"/>
    <w:rsid w:val="004E3D66"/>
    <w:rsid w:val="004E3ECE"/>
    <w:rsid w:val="004E4002"/>
    <w:rsid w:val="004E42E6"/>
    <w:rsid w:val="004E4569"/>
    <w:rsid w:val="004E4B9C"/>
    <w:rsid w:val="004E4E65"/>
    <w:rsid w:val="004E50B0"/>
    <w:rsid w:val="004E5567"/>
    <w:rsid w:val="004E589D"/>
    <w:rsid w:val="004E5B9B"/>
    <w:rsid w:val="004E5DB6"/>
    <w:rsid w:val="004E64C3"/>
    <w:rsid w:val="004E6B4B"/>
    <w:rsid w:val="004E7066"/>
    <w:rsid w:val="004E7635"/>
    <w:rsid w:val="004E77FD"/>
    <w:rsid w:val="004E7DA7"/>
    <w:rsid w:val="004F0045"/>
    <w:rsid w:val="004F04E7"/>
    <w:rsid w:val="004F0E09"/>
    <w:rsid w:val="004F2DDB"/>
    <w:rsid w:val="004F319C"/>
    <w:rsid w:val="004F36A3"/>
    <w:rsid w:val="004F50C8"/>
    <w:rsid w:val="004F51FF"/>
    <w:rsid w:val="004F5D78"/>
    <w:rsid w:val="004F60BF"/>
    <w:rsid w:val="004F6B56"/>
    <w:rsid w:val="004F6EC7"/>
    <w:rsid w:val="004F72CB"/>
    <w:rsid w:val="004F7415"/>
    <w:rsid w:val="00500301"/>
    <w:rsid w:val="0050080A"/>
    <w:rsid w:val="00501815"/>
    <w:rsid w:val="00501A6C"/>
    <w:rsid w:val="0050224B"/>
    <w:rsid w:val="00503449"/>
    <w:rsid w:val="00503B84"/>
    <w:rsid w:val="00503D87"/>
    <w:rsid w:val="00503E82"/>
    <w:rsid w:val="005041C8"/>
    <w:rsid w:val="00504A9A"/>
    <w:rsid w:val="00504C5C"/>
    <w:rsid w:val="00504E0C"/>
    <w:rsid w:val="005059BB"/>
    <w:rsid w:val="005066D4"/>
    <w:rsid w:val="00507875"/>
    <w:rsid w:val="00507C07"/>
    <w:rsid w:val="005106D7"/>
    <w:rsid w:val="0051077D"/>
    <w:rsid w:val="00511B6D"/>
    <w:rsid w:val="00511F14"/>
    <w:rsid w:val="00512154"/>
    <w:rsid w:val="00512234"/>
    <w:rsid w:val="005127F9"/>
    <w:rsid w:val="005129CE"/>
    <w:rsid w:val="00512EAB"/>
    <w:rsid w:val="00512FC2"/>
    <w:rsid w:val="00513330"/>
    <w:rsid w:val="005133E8"/>
    <w:rsid w:val="005134FE"/>
    <w:rsid w:val="005135ED"/>
    <w:rsid w:val="005140E6"/>
    <w:rsid w:val="005144C3"/>
    <w:rsid w:val="00514E47"/>
    <w:rsid w:val="00514F33"/>
    <w:rsid w:val="0051564C"/>
    <w:rsid w:val="00515799"/>
    <w:rsid w:val="005161B4"/>
    <w:rsid w:val="0051687D"/>
    <w:rsid w:val="00516A97"/>
    <w:rsid w:val="00516F5B"/>
    <w:rsid w:val="005173C4"/>
    <w:rsid w:val="0052007C"/>
    <w:rsid w:val="005202DD"/>
    <w:rsid w:val="00520524"/>
    <w:rsid w:val="005206AC"/>
    <w:rsid w:val="00520AB3"/>
    <w:rsid w:val="00520D1A"/>
    <w:rsid w:val="00521A5D"/>
    <w:rsid w:val="00521DC6"/>
    <w:rsid w:val="005221A3"/>
    <w:rsid w:val="005221F8"/>
    <w:rsid w:val="00522227"/>
    <w:rsid w:val="00522499"/>
    <w:rsid w:val="00522589"/>
    <w:rsid w:val="00522963"/>
    <w:rsid w:val="00522EA5"/>
    <w:rsid w:val="005235AE"/>
    <w:rsid w:val="005237C1"/>
    <w:rsid w:val="00523E07"/>
    <w:rsid w:val="00524897"/>
    <w:rsid w:val="00524B71"/>
    <w:rsid w:val="00524CFE"/>
    <w:rsid w:val="00524F01"/>
    <w:rsid w:val="005251FF"/>
    <w:rsid w:val="00525255"/>
    <w:rsid w:val="005257CA"/>
    <w:rsid w:val="0052590A"/>
    <w:rsid w:val="00525BE0"/>
    <w:rsid w:val="005269D0"/>
    <w:rsid w:val="00526A14"/>
    <w:rsid w:val="00526B27"/>
    <w:rsid w:val="00527A14"/>
    <w:rsid w:val="00527D42"/>
    <w:rsid w:val="0053016F"/>
    <w:rsid w:val="00530B3D"/>
    <w:rsid w:val="00531229"/>
    <w:rsid w:val="005317E2"/>
    <w:rsid w:val="005322B0"/>
    <w:rsid w:val="00532525"/>
    <w:rsid w:val="00533021"/>
    <w:rsid w:val="00533A3E"/>
    <w:rsid w:val="00533F82"/>
    <w:rsid w:val="00535204"/>
    <w:rsid w:val="00535870"/>
    <w:rsid w:val="005363F3"/>
    <w:rsid w:val="005366B7"/>
    <w:rsid w:val="00537118"/>
    <w:rsid w:val="0053794B"/>
    <w:rsid w:val="00537A88"/>
    <w:rsid w:val="00537EB4"/>
    <w:rsid w:val="00540459"/>
    <w:rsid w:val="00540703"/>
    <w:rsid w:val="005407EE"/>
    <w:rsid w:val="0054093E"/>
    <w:rsid w:val="00540D5D"/>
    <w:rsid w:val="00541797"/>
    <w:rsid w:val="005421D5"/>
    <w:rsid w:val="005425C5"/>
    <w:rsid w:val="005425D6"/>
    <w:rsid w:val="00543407"/>
    <w:rsid w:val="00543612"/>
    <w:rsid w:val="0054393D"/>
    <w:rsid w:val="005439A8"/>
    <w:rsid w:val="00544595"/>
    <w:rsid w:val="005445FD"/>
    <w:rsid w:val="005448F3"/>
    <w:rsid w:val="00544D38"/>
    <w:rsid w:val="005451D9"/>
    <w:rsid w:val="00545FE8"/>
    <w:rsid w:val="0054601F"/>
    <w:rsid w:val="00546102"/>
    <w:rsid w:val="00546420"/>
    <w:rsid w:val="00546D1B"/>
    <w:rsid w:val="00547237"/>
    <w:rsid w:val="0055026D"/>
    <w:rsid w:val="0055084E"/>
    <w:rsid w:val="00550C70"/>
    <w:rsid w:val="00551658"/>
    <w:rsid w:val="00552205"/>
    <w:rsid w:val="00552207"/>
    <w:rsid w:val="0055373E"/>
    <w:rsid w:val="0055391E"/>
    <w:rsid w:val="00553A97"/>
    <w:rsid w:val="00554B0E"/>
    <w:rsid w:val="00554BB1"/>
    <w:rsid w:val="00555B04"/>
    <w:rsid w:val="00555E80"/>
    <w:rsid w:val="005563AF"/>
    <w:rsid w:val="005564BB"/>
    <w:rsid w:val="005564F9"/>
    <w:rsid w:val="00556C8C"/>
    <w:rsid w:val="00557AA2"/>
    <w:rsid w:val="00557DF4"/>
    <w:rsid w:val="00560AE3"/>
    <w:rsid w:val="0056177E"/>
    <w:rsid w:val="005623EF"/>
    <w:rsid w:val="005623F7"/>
    <w:rsid w:val="005631A5"/>
    <w:rsid w:val="00563954"/>
    <w:rsid w:val="005640A3"/>
    <w:rsid w:val="00564205"/>
    <w:rsid w:val="00565DF6"/>
    <w:rsid w:val="00565EC8"/>
    <w:rsid w:val="00567097"/>
    <w:rsid w:val="005671A5"/>
    <w:rsid w:val="0056727B"/>
    <w:rsid w:val="0057102D"/>
    <w:rsid w:val="0057109B"/>
    <w:rsid w:val="00572120"/>
    <w:rsid w:val="00572E17"/>
    <w:rsid w:val="00573786"/>
    <w:rsid w:val="00573940"/>
    <w:rsid w:val="00573CF3"/>
    <w:rsid w:val="00573D4F"/>
    <w:rsid w:val="0057434C"/>
    <w:rsid w:val="005748DA"/>
    <w:rsid w:val="00575135"/>
    <w:rsid w:val="00575396"/>
    <w:rsid w:val="0057579C"/>
    <w:rsid w:val="00575D53"/>
    <w:rsid w:val="00576792"/>
    <w:rsid w:val="00576EDC"/>
    <w:rsid w:val="00577705"/>
    <w:rsid w:val="00580589"/>
    <w:rsid w:val="00580726"/>
    <w:rsid w:val="00580755"/>
    <w:rsid w:val="005808FE"/>
    <w:rsid w:val="00580B11"/>
    <w:rsid w:val="00581528"/>
    <w:rsid w:val="00581597"/>
    <w:rsid w:val="00581B77"/>
    <w:rsid w:val="00581D49"/>
    <w:rsid w:val="00581EC1"/>
    <w:rsid w:val="00582309"/>
    <w:rsid w:val="0058241D"/>
    <w:rsid w:val="00582926"/>
    <w:rsid w:val="00582964"/>
    <w:rsid w:val="00582C87"/>
    <w:rsid w:val="00583972"/>
    <w:rsid w:val="00584160"/>
    <w:rsid w:val="00584478"/>
    <w:rsid w:val="005845A1"/>
    <w:rsid w:val="005847CB"/>
    <w:rsid w:val="0058545A"/>
    <w:rsid w:val="00585952"/>
    <w:rsid w:val="005860EF"/>
    <w:rsid w:val="005871D3"/>
    <w:rsid w:val="00587D69"/>
    <w:rsid w:val="0059014D"/>
    <w:rsid w:val="0059020A"/>
    <w:rsid w:val="005909C9"/>
    <w:rsid w:val="00590F3D"/>
    <w:rsid w:val="00591BBB"/>
    <w:rsid w:val="00591D39"/>
    <w:rsid w:val="00591E25"/>
    <w:rsid w:val="005926EF"/>
    <w:rsid w:val="00592946"/>
    <w:rsid w:val="00592EFA"/>
    <w:rsid w:val="00593525"/>
    <w:rsid w:val="0059358A"/>
    <w:rsid w:val="0059492A"/>
    <w:rsid w:val="00595947"/>
    <w:rsid w:val="00595E50"/>
    <w:rsid w:val="00595FF4"/>
    <w:rsid w:val="00596781"/>
    <w:rsid w:val="00596C2E"/>
    <w:rsid w:val="00596E99"/>
    <w:rsid w:val="00597109"/>
    <w:rsid w:val="0059731D"/>
    <w:rsid w:val="005977A3"/>
    <w:rsid w:val="00597A9A"/>
    <w:rsid w:val="005A1606"/>
    <w:rsid w:val="005A164B"/>
    <w:rsid w:val="005A169C"/>
    <w:rsid w:val="005A16A4"/>
    <w:rsid w:val="005A16A7"/>
    <w:rsid w:val="005A1D95"/>
    <w:rsid w:val="005A1EF3"/>
    <w:rsid w:val="005A1FC3"/>
    <w:rsid w:val="005A235C"/>
    <w:rsid w:val="005A2721"/>
    <w:rsid w:val="005A291F"/>
    <w:rsid w:val="005A2DF3"/>
    <w:rsid w:val="005A2E8E"/>
    <w:rsid w:val="005A326A"/>
    <w:rsid w:val="005A3468"/>
    <w:rsid w:val="005A3AAF"/>
    <w:rsid w:val="005A41B1"/>
    <w:rsid w:val="005A41F2"/>
    <w:rsid w:val="005A4397"/>
    <w:rsid w:val="005A522C"/>
    <w:rsid w:val="005A6E7B"/>
    <w:rsid w:val="005A7116"/>
    <w:rsid w:val="005A71C0"/>
    <w:rsid w:val="005A789C"/>
    <w:rsid w:val="005B0ABF"/>
    <w:rsid w:val="005B0F63"/>
    <w:rsid w:val="005B1044"/>
    <w:rsid w:val="005B1563"/>
    <w:rsid w:val="005B1FAA"/>
    <w:rsid w:val="005B2463"/>
    <w:rsid w:val="005B25C0"/>
    <w:rsid w:val="005B2757"/>
    <w:rsid w:val="005B2D0D"/>
    <w:rsid w:val="005B36D1"/>
    <w:rsid w:val="005B36D2"/>
    <w:rsid w:val="005B3BDC"/>
    <w:rsid w:val="005B3DA5"/>
    <w:rsid w:val="005B3F47"/>
    <w:rsid w:val="005B420B"/>
    <w:rsid w:val="005B4598"/>
    <w:rsid w:val="005B4B92"/>
    <w:rsid w:val="005B5337"/>
    <w:rsid w:val="005B5B95"/>
    <w:rsid w:val="005B5E5F"/>
    <w:rsid w:val="005B649F"/>
    <w:rsid w:val="005B798A"/>
    <w:rsid w:val="005C06C9"/>
    <w:rsid w:val="005C0B73"/>
    <w:rsid w:val="005C1237"/>
    <w:rsid w:val="005C123C"/>
    <w:rsid w:val="005C1385"/>
    <w:rsid w:val="005C1DE9"/>
    <w:rsid w:val="005C208E"/>
    <w:rsid w:val="005C26FA"/>
    <w:rsid w:val="005C2C8A"/>
    <w:rsid w:val="005C3C0C"/>
    <w:rsid w:val="005C414A"/>
    <w:rsid w:val="005C4ABA"/>
    <w:rsid w:val="005C4DCB"/>
    <w:rsid w:val="005C5462"/>
    <w:rsid w:val="005C581C"/>
    <w:rsid w:val="005C70D9"/>
    <w:rsid w:val="005C7365"/>
    <w:rsid w:val="005C7630"/>
    <w:rsid w:val="005C7E2A"/>
    <w:rsid w:val="005D0236"/>
    <w:rsid w:val="005D179E"/>
    <w:rsid w:val="005D1A55"/>
    <w:rsid w:val="005D1B3A"/>
    <w:rsid w:val="005D2614"/>
    <w:rsid w:val="005D2CFA"/>
    <w:rsid w:val="005D2F69"/>
    <w:rsid w:val="005D3B69"/>
    <w:rsid w:val="005D3E70"/>
    <w:rsid w:val="005D52F2"/>
    <w:rsid w:val="005D5570"/>
    <w:rsid w:val="005D5CA3"/>
    <w:rsid w:val="005D6A21"/>
    <w:rsid w:val="005D6C91"/>
    <w:rsid w:val="005D71EE"/>
    <w:rsid w:val="005D7D02"/>
    <w:rsid w:val="005E01D0"/>
    <w:rsid w:val="005E048D"/>
    <w:rsid w:val="005E0D52"/>
    <w:rsid w:val="005E10BA"/>
    <w:rsid w:val="005E1134"/>
    <w:rsid w:val="005E12B8"/>
    <w:rsid w:val="005E149B"/>
    <w:rsid w:val="005E1E25"/>
    <w:rsid w:val="005E20DC"/>
    <w:rsid w:val="005E229C"/>
    <w:rsid w:val="005E4150"/>
    <w:rsid w:val="005E426D"/>
    <w:rsid w:val="005E4A1E"/>
    <w:rsid w:val="005E63FF"/>
    <w:rsid w:val="005E6F22"/>
    <w:rsid w:val="005F01FC"/>
    <w:rsid w:val="005F050A"/>
    <w:rsid w:val="005F08B8"/>
    <w:rsid w:val="005F0AB0"/>
    <w:rsid w:val="005F0B39"/>
    <w:rsid w:val="005F0CE4"/>
    <w:rsid w:val="005F139E"/>
    <w:rsid w:val="005F155A"/>
    <w:rsid w:val="005F1D59"/>
    <w:rsid w:val="005F1ED7"/>
    <w:rsid w:val="005F210F"/>
    <w:rsid w:val="005F3EF6"/>
    <w:rsid w:val="005F3F52"/>
    <w:rsid w:val="005F52D5"/>
    <w:rsid w:val="005F5C4B"/>
    <w:rsid w:val="005F5F15"/>
    <w:rsid w:val="005F6459"/>
    <w:rsid w:val="005F6A36"/>
    <w:rsid w:val="005F727A"/>
    <w:rsid w:val="005F7630"/>
    <w:rsid w:val="005F7767"/>
    <w:rsid w:val="005F77C9"/>
    <w:rsid w:val="006004F9"/>
    <w:rsid w:val="00600C28"/>
    <w:rsid w:val="00600F65"/>
    <w:rsid w:val="006013EB"/>
    <w:rsid w:val="00601F04"/>
    <w:rsid w:val="00602A4C"/>
    <w:rsid w:val="00602BB1"/>
    <w:rsid w:val="00603CD6"/>
    <w:rsid w:val="00603EBB"/>
    <w:rsid w:val="00604677"/>
    <w:rsid w:val="00604827"/>
    <w:rsid w:val="0060492A"/>
    <w:rsid w:val="00605068"/>
    <w:rsid w:val="00605089"/>
    <w:rsid w:val="0060574D"/>
    <w:rsid w:val="0060577B"/>
    <w:rsid w:val="00605F31"/>
    <w:rsid w:val="00606D90"/>
    <w:rsid w:val="006073E2"/>
    <w:rsid w:val="00607815"/>
    <w:rsid w:val="00607980"/>
    <w:rsid w:val="00607E2A"/>
    <w:rsid w:val="00610008"/>
    <w:rsid w:val="00610642"/>
    <w:rsid w:val="00610698"/>
    <w:rsid w:val="006108AC"/>
    <w:rsid w:val="00610D8B"/>
    <w:rsid w:val="00610DA8"/>
    <w:rsid w:val="006119A0"/>
    <w:rsid w:val="00611C78"/>
    <w:rsid w:val="00612513"/>
    <w:rsid w:val="00612E02"/>
    <w:rsid w:val="00614288"/>
    <w:rsid w:val="006145FF"/>
    <w:rsid w:val="006158E7"/>
    <w:rsid w:val="006159B2"/>
    <w:rsid w:val="00615DE0"/>
    <w:rsid w:val="00615E97"/>
    <w:rsid w:val="00616A86"/>
    <w:rsid w:val="00616F8B"/>
    <w:rsid w:val="006172CA"/>
    <w:rsid w:val="0061746B"/>
    <w:rsid w:val="00617B4D"/>
    <w:rsid w:val="006201D9"/>
    <w:rsid w:val="00621FE3"/>
    <w:rsid w:val="006223B9"/>
    <w:rsid w:val="00622701"/>
    <w:rsid w:val="00622A7A"/>
    <w:rsid w:val="006230A8"/>
    <w:rsid w:val="00623177"/>
    <w:rsid w:val="00623E10"/>
    <w:rsid w:val="00624534"/>
    <w:rsid w:val="006245AE"/>
    <w:rsid w:val="006249D8"/>
    <w:rsid w:val="006249E4"/>
    <w:rsid w:val="00624AAD"/>
    <w:rsid w:val="00624BFB"/>
    <w:rsid w:val="00625219"/>
    <w:rsid w:val="0062581D"/>
    <w:rsid w:val="00625AAD"/>
    <w:rsid w:val="00625C5F"/>
    <w:rsid w:val="00625C9F"/>
    <w:rsid w:val="006264CC"/>
    <w:rsid w:val="006266E2"/>
    <w:rsid w:val="0062683B"/>
    <w:rsid w:val="0062685C"/>
    <w:rsid w:val="00626F01"/>
    <w:rsid w:val="0062719F"/>
    <w:rsid w:val="00627288"/>
    <w:rsid w:val="00630D8B"/>
    <w:rsid w:val="00630FFA"/>
    <w:rsid w:val="00631359"/>
    <w:rsid w:val="00631C20"/>
    <w:rsid w:val="00631DA2"/>
    <w:rsid w:val="00631F86"/>
    <w:rsid w:val="00632502"/>
    <w:rsid w:val="006335EB"/>
    <w:rsid w:val="00633879"/>
    <w:rsid w:val="00633EBD"/>
    <w:rsid w:val="00635666"/>
    <w:rsid w:val="00635CDB"/>
    <w:rsid w:val="00635F5F"/>
    <w:rsid w:val="006367E8"/>
    <w:rsid w:val="00636E53"/>
    <w:rsid w:val="0064002E"/>
    <w:rsid w:val="00640B72"/>
    <w:rsid w:val="00640BAA"/>
    <w:rsid w:val="00640FD7"/>
    <w:rsid w:val="00641E27"/>
    <w:rsid w:val="00642399"/>
    <w:rsid w:val="006424FC"/>
    <w:rsid w:val="00643090"/>
    <w:rsid w:val="00643AE1"/>
    <w:rsid w:val="00644273"/>
    <w:rsid w:val="00644530"/>
    <w:rsid w:val="006445D4"/>
    <w:rsid w:val="0064579E"/>
    <w:rsid w:val="00645FA5"/>
    <w:rsid w:val="006464B1"/>
    <w:rsid w:val="006464E1"/>
    <w:rsid w:val="00647F00"/>
    <w:rsid w:val="00650641"/>
    <w:rsid w:val="00650725"/>
    <w:rsid w:val="006519A3"/>
    <w:rsid w:val="00652532"/>
    <w:rsid w:val="006531B1"/>
    <w:rsid w:val="00653749"/>
    <w:rsid w:val="0065399D"/>
    <w:rsid w:val="006539E9"/>
    <w:rsid w:val="00653A12"/>
    <w:rsid w:val="00654126"/>
    <w:rsid w:val="006546ED"/>
    <w:rsid w:val="00654853"/>
    <w:rsid w:val="00654FA8"/>
    <w:rsid w:val="00655089"/>
    <w:rsid w:val="0065532B"/>
    <w:rsid w:val="00655434"/>
    <w:rsid w:val="006556A4"/>
    <w:rsid w:val="00655700"/>
    <w:rsid w:val="0065628A"/>
    <w:rsid w:val="006569C0"/>
    <w:rsid w:val="0065759A"/>
    <w:rsid w:val="006575A5"/>
    <w:rsid w:val="006575B8"/>
    <w:rsid w:val="0065765B"/>
    <w:rsid w:val="00657A3B"/>
    <w:rsid w:val="00657B04"/>
    <w:rsid w:val="00657C8C"/>
    <w:rsid w:val="00660392"/>
    <w:rsid w:val="00660A76"/>
    <w:rsid w:val="00660B3A"/>
    <w:rsid w:val="00660C18"/>
    <w:rsid w:val="006613D3"/>
    <w:rsid w:val="00661599"/>
    <w:rsid w:val="00661920"/>
    <w:rsid w:val="00661BC2"/>
    <w:rsid w:val="00662640"/>
    <w:rsid w:val="00662D80"/>
    <w:rsid w:val="00662EC8"/>
    <w:rsid w:val="00663ABD"/>
    <w:rsid w:val="00663B40"/>
    <w:rsid w:val="00664E80"/>
    <w:rsid w:val="006656FF"/>
    <w:rsid w:val="00665994"/>
    <w:rsid w:val="00665A6D"/>
    <w:rsid w:val="00665DF5"/>
    <w:rsid w:val="00666762"/>
    <w:rsid w:val="006675EB"/>
    <w:rsid w:val="00670B8F"/>
    <w:rsid w:val="00670BBA"/>
    <w:rsid w:val="00670C02"/>
    <w:rsid w:val="00670D04"/>
    <w:rsid w:val="00670DB5"/>
    <w:rsid w:val="00670F76"/>
    <w:rsid w:val="006714DB"/>
    <w:rsid w:val="006717CE"/>
    <w:rsid w:val="00671E69"/>
    <w:rsid w:val="0067240C"/>
    <w:rsid w:val="006728A7"/>
    <w:rsid w:val="00673258"/>
    <w:rsid w:val="006733F8"/>
    <w:rsid w:val="0067341B"/>
    <w:rsid w:val="00673484"/>
    <w:rsid w:val="00673586"/>
    <w:rsid w:val="00673791"/>
    <w:rsid w:val="00673A43"/>
    <w:rsid w:val="00674B01"/>
    <w:rsid w:val="00674F8D"/>
    <w:rsid w:val="006753A1"/>
    <w:rsid w:val="00675590"/>
    <w:rsid w:val="00675B82"/>
    <w:rsid w:val="00675BB2"/>
    <w:rsid w:val="00676101"/>
    <w:rsid w:val="0067683F"/>
    <w:rsid w:val="00677118"/>
    <w:rsid w:val="00677254"/>
    <w:rsid w:val="006776E0"/>
    <w:rsid w:val="0068009F"/>
    <w:rsid w:val="00680844"/>
    <w:rsid w:val="00680A1E"/>
    <w:rsid w:val="006815EA"/>
    <w:rsid w:val="006819EA"/>
    <w:rsid w:val="00681BC2"/>
    <w:rsid w:val="00681FC8"/>
    <w:rsid w:val="006824C3"/>
    <w:rsid w:val="00682CE4"/>
    <w:rsid w:val="00683186"/>
    <w:rsid w:val="0068381F"/>
    <w:rsid w:val="00683EA6"/>
    <w:rsid w:val="00684407"/>
    <w:rsid w:val="00684D4D"/>
    <w:rsid w:val="006853E6"/>
    <w:rsid w:val="0068542B"/>
    <w:rsid w:val="006855C9"/>
    <w:rsid w:val="006875BB"/>
    <w:rsid w:val="00687C43"/>
    <w:rsid w:val="006906D4"/>
    <w:rsid w:val="006906F8"/>
    <w:rsid w:val="00690A97"/>
    <w:rsid w:val="00690DB9"/>
    <w:rsid w:val="006915D6"/>
    <w:rsid w:val="006919BB"/>
    <w:rsid w:val="00692771"/>
    <w:rsid w:val="0069366E"/>
    <w:rsid w:val="00693963"/>
    <w:rsid w:val="00693F1B"/>
    <w:rsid w:val="0069432A"/>
    <w:rsid w:val="00694EC9"/>
    <w:rsid w:val="00695677"/>
    <w:rsid w:val="00696A07"/>
    <w:rsid w:val="006972E0"/>
    <w:rsid w:val="006976A1"/>
    <w:rsid w:val="0069775D"/>
    <w:rsid w:val="006A0DA6"/>
    <w:rsid w:val="006A1438"/>
    <w:rsid w:val="006A14BF"/>
    <w:rsid w:val="006A18A6"/>
    <w:rsid w:val="006A29DD"/>
    <w:rsid w:val="006A2D6C"/>
    <w:rsid w:val="006A3305"/>
    <w:rsid w:val="006A3530"/>
    <w:rsid w:val="006A3B5A"/>
    <w:rsid w:val="006A4082"/>
    <w:rsid w:val="006A42F9"/>
    <w:rsid w:val="006A442B"/>
    <w:rsid w:val="006A472F"/>
    <w:rsid w:val="006A4EF1"/>
    <w:rsid w:val="006A558B"/>
    <w:rsid w:val="006A55EB"/>
    <w:rsid w:val="006A5AFE"/>
    <w:rsid w:val="006A646F"/>
    <w:rsid w:val="006A6583"/>
    <w:rsid w:val="006A6966"/>
    <w:rsid w:val="006A6A16"/>
    <w:rsid w:val="006A6B0D"/>
    <w:rsid w:val="006A6B6C"/>
    <w:rsid w:val="006A7438"/>
    <w:rsid w:val="006A765D"/>
    <w:rsid w:val="006A7787"/>
    <w:rsid w:val="006A7A07"/>
    <w:rsid w:val="006A7B33"/>
    <w:rsid w:val="006A7B89"/>
    <w:rsid w:val="006A7E5F"/>
    <w:rsid w:val="006B02AB"/>
    <w:rsid w:val="006B064A"/>
    <w:rsid w:val="006B1263"/>
    <w:rsid w:val="006B1388"/>
    <w:rsid w:val="006B167B"/>
    <w:rsid w:val="006B1BDD"/>
    <w:rsid w:val="006B1C69"/>
    <w:rsid w:val="006B1E40"/>
    <w:rsid w:val="006B2430"/>
    <w:rsid w:val="006B3552"/>
    <w:rsid w:val="006B384B"/>
    <w:rsid w:val="006B395D"/>
    <w:rsid w:val="006B41B3"/>
    <w:rsid w:val="006B45D1"/>
    <w:rsid w:val="006B4F2B"/>
    <w:rsid w:val="006B61D2"/>
    <w:rsid w:val="006B6226"/>
    <w:rsid w:val="006B6ADD"/>
    <w:rsid w:val="006B7481"/>
    <w:rsid w:val="006B74E6"/>
    <w:rsid w:val="006B7A60"/>
    <w:rsid w:val="006C007F"/>
    <w:rsid w:val="006C0976"/>
    <w:rsid w:val="006C13CE"/>
    <w:rsid w:val="006C1874"/>
    <w:rsid w:val="006C23C3"/>
    <w:rsid w:val="006C35AA"/>
    <w:rsid w:val="006C37BD"/>
    <w:rsid w:val="006C3A64"/>
    <w:rsid w:val="006C471F"/>
    <w:rsid w:val="006C48C3"/>
    <w:rsid w:val="006C4D2C"/>
    <w:rsid w:val="006C516A"/>
    <w:rsid w:val="006C55B7"/>
    <w:rsid w:val="006C56B5"/>
    <w:rsid w:val="006C5C3F"/>
    <w:rsid w:val="006C601F"/>
    <w:rsid w:val="006C661D"/>
    <w:rsid w:val="006C67D6"/>
    <w:rsid w:val="006C6ACB"/>
    <w:rsid w:val="006C6B5F"/>
    <w:rsid w:val="006C720E"/>
    <w:rsid w:val="006C74C6"/>
    <w:rsid w:val="006C7816"/>
    <w:rsid w:val="006D075E"/>
    <w:rsid w:val="006D09E6"/>
    <w:rsid w:val="006D1841"/>
    <w:rsid w:val="006D1989"/>
    <w:rsid w:val="006D1B0F"/>
    <w:rsid w:val="006D1C56"/>
    <w:rsid w:val="006D2072"/>
    <w:rsid w:val="006D237E"/>
    <w:rsid w:val="006D2691"/>
    <w:rsid w:val="006D2C75"/>
    <w:rsid w:val="006D319E"/>
    <w:rsid w:val="006D3338"/>
    <w:rsid w:val="006D3BCA"/>
    <w:rsid w:val="006D3DDD"/>
    <w:rsid w:val="006D46A7"/>
    <w:rsid w:val="006D4D74"/>
    <w:rsid w:val="006D5267"/>
    <w:rsid w:val="006D6429"/>
    <w:rsid w:val="006D6C36"/>
    <w:rsid w:val="006D756F"/>
    <w:rsid w:val="006D783A"/>
    <w:rsid w:val="006D791D"/>
    <w:rsid w:val="006D7ABE"/>
    <w:rsid w:val="006E042E"/>
    <w:rsid w:val="006E17BE"/>
    <w:rsid w:val="006E1ECD"/>
    <w:rsid w:val="006E2952"/>
    <w:rsid w:val="006E33B9"/>
    <w:rsid w:val="006E34C7"/>
    <w:rsid w:val="006E48E4"/>
    <w:rsid w:val="006E4C48"/>
    <w:rsid w:val="006E4C82"/>
    <w:rsid w:val="006E4E61"/>
    <w:rsid w:val="006E57B0"/>
    <w:rsid w:val="006E6154"/>
    <w:rsid w:val="006E61C8"/>
    <w:rsid w:val="006E6281"/>
    <w:rsid w:val="006E67F4"/>
    <w:rsid w:val="006E7D08"/>
    <w:rsid w:val="006F00CB"/>
    <w:rsid w:val="006F0387"/>
    <w:rsid w:val="006F0593"/>
    <w:rsid w:val="006F10C6"/>
    <w:rsid w:val="006F11E0"/>
    <w:rsid w:val="006F1930"/>
    <w:rsid w:val="006F1AE5"/>
    <w:rsid w:val="006F1B5E"/>
    <w:rsid w:val="006F22E8"/>
    <w:rsid w:val="006F2B8A"/>
    <w:rsid w:val="006F2EF5"/>
    <w:rsid w:val="006F34F8"/>
    <w:rsid w:val="006F37AD"/>
    <w:rsid w:val="006F3B39"/>
    <w:rsid w:val="006F3CB6"/>
    <w:rsid w:val="006F3D16"/>
    <w:rsid w:val="006F40DA"/>
    <w:rsid w:val="006F5344"/>
    <w:rsid w:val="006F5594"/>
    <w:rsid w:val="006F562C"/>
    <w:rsid w:val="006F58DE"/>
    <w:rsid w:val="006F69CA"/>
    <w:rsid w:val="006F69DB"/>
    <w:rsid w:val="006F6DEF"/>
    <w:rsid w:val="006F7295"/>
    <w:rsid w:val="006F769F"/>
    <w:rsid w:val="00700FF5"/>
    <w:rsid w:val="0070167D"/>
    <w:rsid w:val="00701716"/>
    <w:rsid w:val="007018CA"/>
    <w:rsid w:val="00701973"/>
    <w:rsid w:val="00701BC6"/>
    <w:rsid w:val="00701C6E"/>
    <w:rsid w:val="00702667"/>
    <w:rsid w:val="00702A31"/>
    <w:rsid w:val="00702CA3"/>
    <w:rsid w:val="00702D2F"/>
    <w:rsid w:val="00703321"/>
    <w:rsid w:val="00703589"/>
    <w:rsid w:val="00703687"/>
    <w:rsid w:val="0070379A"/>
    <w:rsid w:val="007043EA"/>
    <w:rsid w:val="0070482B"/>
    <w:rsid w:val="007048CB"/>
    <w:rsid w:val="00704E74"/>
    <w:rsid w:val="00705BF4"/>
    <w:rsid w:val="007063CB"/>
    <w:rsid w:val="0070662F"/>
    <w:rsid w:val="007068FE"/>
    <w:rsid w:val="00706AAC"/>
    <w:rsid w:val="00706D1F"/>
    <w:rsid w:val="00707193"/>
    <w:rsid w:val="007077CC"/>
    <w:rsid w:val="00710081"/>
    <w:rsid w:val="007101EC"/>
    <w:rsid w:val="00710578"/>
    <w:rsid w:val="007105C0"/>
    <w:rsid w:val="00710B19"/>
    <w:rsid w:val="00710B65"/>
    <w:rsid w:val="00710D3E"/>
    <w:rsid w:val="007110F7"/>
    <w:rsid w:val="007113A0"/>
    <w:rsid w:val="0071166E"/>
    <w:rsid w:val="0071250A"/>
    <w:rsid w:val="00712E61"/>
    <w:rsid w:val="00712ED1"/>
    <w:rsid w:val="00713626"/>
    <w:rsid w:val="00713D26"/>
    <w:rsid w:val="00713DF5"/>
    <w:rsid w:val="00714510"/>
    <w:rsid w:val="00714EAE"/>
    <w:rsid w:val="00714F4E"/>
    <w:rsid w:val="007152DF"/>
    <w:rsid w:val="0071573E"/>
    <w:rsid w:val="00715948"/>
    <w:rsid w:val="00715C47"/>
    <w:rsid w:val="007162AD"/>
    <w:rsid w:val="00716A29"/>
    <w:rsid w:val="00716C0F"/>
    <w:rsid w:val="00716DED"/>
    <w:rsid w:val="00716F3D"/>
    <w:rsid w:val="00716F92"/>
    <w:rsid w:val="00717066"/>
    <w:rsid w:val="00717A26"/>
    <w:rsid w:val="00717B0C"/>
    <w:rsid w:val="007209A0"/>
    <w:rsid w:val="00720CB9"/>
    <w:rsid w:val="00720CCF"/>
    <w:rsid w:val="007215E8"/>
    <w:rsid w:val="00721D2B"/>
    <w:rsid w:val="00721E1F"/>
    <w:rsid w:val="00722368"/>
    <w:rsid w:val="007228E7"/>
    <w:rsid w:val="00722D4F"/>
    <w:rsid w:val="007232CA"/>
    <w:rsid w:val="007237C2"/>
    <w:rsid w:val="007237EE"/>
    <w:rsid w:val="00723F19"/>
    <w:rsid w:val="0072433E"/>
    <w:rsid w:val="007244C1"/>
    <w:rsid w:val="00724A8A"/>
    <w:rsid w:val="00725039"/>
    <w:rsid w:val="00725879"/>
    <w:rsid w:val="00725F04"/>
    <w:rsid w:val="00726B8E"/>
    <w:rsid w:val="00726E53"/>
    <w:rsid w:val="00727124"/>
    <w:rsid w:val="007300E1"/>
    <w:rsid w:val="00730C78"/>
    <w:rsid w:val="00730F90"/>
    <w:rsid w:val="00731201"/>
    <w:rsid w:val="0073159F"/>
    <w:rsid w:val="007318D9"/>
    <w:rsid w:val="007319A9"/>
    <w:rsid w:val="00731DE6"/>
    <w:rsid w:val="0073250F"/>
    <w:rsid w:val="007328F3"/>
    <w:rsid w:val="00732FAD"/>
    <w:rsid w:val="0073329C"/>
    <w:rsid w:val="00733376"/>
    <w:rsid w:val="00733530"/>
    <w:rsid w:val="007336FF"/>
    <w:rsid w:val="00733757"/>
    <w:rsid w:val="00733E41"/>
    <w:rsid w:val="0073415F"/>
    <w:rsid w:val="00735CF7"/>
    <w:rsid w:val="00735E5E"/>
    <w:rsid w:val="0073602C"/>
    <w:rsid w:val="00736E26"/>
    <w:rsid w:val="00736FB2"/>
    <w:rsid w:val="00736FCA"/>
    <w:rsid w:val="0073707B"/>
    <w:rsid w:val="007376F0"/>
    <w:rsid w:val="007404F8"/>
    <w:rsid w:val="00740C68"/>
    <w:rsid w:val="00740F4E"/>
    <w:rsid w:val="007413A5"/>
    <w:rsid w:val="00741470"/>
    <w:rsid w:val="007414F9"/>
    <w:rsid w:val="00741A8C"/>
    <w:rsid w:val="00741E4A"/>
    <w:rsid w:val="00742391"/>
    <w:rsid w:val="00742A91"/>
    <w:rsid w:val="007432AB"/>
    <w:rsid w:val="00743407"/>
    <w:rsid w:val="00743E3A"/>
    <w:rsid w:val="00744477"/>
    <w:rsid w:val="00744BF4"/>
    <w:rsid w:val="00745024"/>
    <w:rsid w:val="0074554C"/>
    <w:rsid w:val="007456D5"/>
    <w:rsid w:val="007458B3"/>
    <w:rsid w:val="00745B6C"/>
    <w:rsid w:val="007465C5"/>
    <w:rsid w:val="007466E8"/>
    <w:rsid w:val="0074718F"/>
    <w:rsid w:val="007472C9"/>
    <w:rsid w:val="00747B68"/>
    <w:rsid w:val="00747E8B"/>
    <w:rsid w:val="00747FCB"/>
    <w:rsid w:val="00750315"/>
    <w:rsid w:val="00750814"/>
    <w:rsid w:val="00750CC3"/>
    <w:rsid w:val="00750CEF"/>
    <w:rsid w:val="00750FEF"/>
    <w:rsid w:val="00751AF3"/>
    <w:rsid w:val="00751C86"/>
    <w:rsid w:val="00751D35"/>
    <w:rsid w:val="007520C9"/>
    <w:rsid w:val="007520F9"/>
    <w:rsid w:val="00752619"/>
    <w:rsid w:val="00752A90"/>
    <w:rsid w:val="00752C2F"/>
    <w:rsid w:val="00752D3B"/>
    <w:rsid w:val="00752DD9"/>
    <w:rsid w:val="0075316A"/>
    <w:rsid w:val="0075321B"/>
    <w:rsid w:val="00753656"/>
    <w:rsid w:val="00753770"/>
    <w:rsid w:val="00754174"/>
    <w:rsid w:val="007545C3"/>
    <w:rsid w:val="00756511"/>
    <w:rsid w:val="00756BD4"/>
    <w:rsid w:val="00756D03"/>
    <w:rsid w:val="0075727B"/>
    <w:rsid w:val="0075767B"/>
    <w:rsid w:val="00757AFD"/>
    <w:rsid w:val="00757D35"/>
    <w:rsid w:val="00757DEF"/>
    <w:rsid w:val="00757DF3"/>
    <w:rsid w:val="00760941"/>
    <w:rsid w:val="00760BA6"/>
    <w:rsid w:val="00760D48"/>
    <w:rsid w:val="007614A3"/>
    <w:rsid w:val="00761D6C"/>
    <w:rsid w:val="00762034"/>
    <w:rsid w:val="00762487"/>
    <w:rsid w:val="00762496"/>
    <w:rsid w:val="00762889"/>
    <w:rsid w:val="007630EC"/>
    <w:rsid w:val="007636B3"/>
    <w:rsid w:val="00763CB2"/>
    <w:rsid w:val="00763DD9"/>
    <w:rsid w:val="00764ADD"/>
    <w:rsid w:val="00764BE4"/>
    <w:rsid w:val="00765B13"/>
    <w:rsid w:val="007662C4"/>
    <w:rsid w:val="00766E6C"/>
    <w:rsid w:val="00766ED5"/>
    <w:rsid w:val="0076726B"/>
    <w:rsid w:val="0076761C"/>
    <w:rsid w:val="00767E36"/>
    <w:rsid w:val="00767F75"/>
    <w:rsid w:val="007700BB"/>
    <w:rsid w:val="0077042D"/>
    <w:rsid w:val="00770441"/>
    <w:rsid w:val="00770FAA"/>
    <w:rsid w:val="00771A4F"/>
    <w:rsid w:val="00771B6C"/>
    <w:rsid w:val="00771FDD"/>
    <w:rsid w:val="00772793"/>
    <w:rsid w:val="00772B04"/>
    <w:rsid w:val="00773A85"/>
    <w:rsid w:val="00773B5D"/>
    <w:rsid w:val="00773BA4"/>
    <w:rsid w:val="00773DA3"/>
    <w:rsid w:val="00774E82"/>
    <w:rsid w:val="00774F48"/>
    <w:rsid w:val="00775294"/>
    <w:rsid w:val="007800B1"/>
    <w:rsid w:val="00780949"/>
    <w:rsid w:val="00780FCC"/>
    <w:rsid w:val="007817D7"/>
    <w:rsid w:val="00781833"/>
    <w:rsid w:val="00781C66"/>
    <w:rsid w:val="007822B5"/>
    <w:rsid w:val="007824A8"/>
    <w:rsid w:val="0078250A"/>
    <w:rsid w:val="00782664"/>
    <w:rsid w:val="007845E1"/>
    <w:rsid w:val="00784772"/>
    <w:rsid w:val="007851CF"/>
    <w:rsid w:val="00785204"/>
    <w:rsid w:val="00785D72"/>
    <w:rsid w:val="00785E0A"/>
    <w:rsid w:val="00786143"/>
    <w:rsid w:val="00786351"/>
    <w:rsid w:val="007868D6"/>
    <w:rsid w:val="00786C3D"/>
    <w:rsid w:val="00787501"/>
    <w:rsid w:val="00787EB8"/>
    <w:rsid w:val="007901D4"/>
    <w:rsid w:val="00790BA2"/>
    <w:rsid w:val="00791C82"/>
    <w:rsid w:val="00791CFE"/>
    <w:rsid w:val="00793CCF"/>
    <w:rsid w:val="0079417D"/>
    <w:rsid w:val="007943B7"/>
    <w:rsid w:val="007948A2"/>
    <w:rsid w:val="00794A35"/>
    <w:rsid w:val="00794EA7"/>
    <w:rsid w:val="0079505C"/>
    <w:rsid w:val="00795C6F"/>
    <w:rsid w:val="00795DB1"/>
    <w:rsid w:val="007969E3"/>
    <w:rsid w:val="0079712C"/>
    <w:rsid w:val="00797193"/>
    <w:rsid w:val="0079743E"/>
    <w:rsid w:val="00797E62"/>
    <w:rsid w:val="00797F35"/>
    <w:rsid w:val="007A0834"/>
    <w:rsid w:val="007A0D21"/>
    <w:rsid w:val="007A10AF"/>
    <w:rsid w:val="007A13E7"/>
    <w:rsid w:val="007A15A4"/>
    <w:rsid w:val="007A245E"/>
    <w:rsid w:val="007A30E6"/>
    <w:rsid w:val="007A329E"/>
    <w:rsid w:val="007A3C51"/>
    <w:rsid w:val="007A3E2C"/>
    <w:rsid w:val="007A424D"/>
    <w:rsid w:val="007A4689"/>
    <w:rsid w:val="007A4ED1"/>
    <w:rsid w:val="007A6168"/>
    <w:rsid w:val="007A6499"/>
    <w:rsid w:val="007A6642"/>
    <w:rsid w:val="007A67AB"/>
    <w:rsid w:val="007A6A8F"/>
    <w:rsid w:val="007A6AD3"/>
    <w:rsid w:val="007A71CE"/>
    <w:rsid w:val="007A74CA"/>
    <w:rsid w:val="007A793F"/>
    <w:rsid w:val="007B147A"/>
    <w:rsid w:val="007B24F7"/>
    <w:rsid w:val="007B2F53"/>
    <w:rsid w:val="007B2F95"/>
    <w:rsid w:val="007B32E0"/>
    <w:rsid w:val="007B34BC"/>
    <w:rsid w:val="007B38C1"/>
    <w:rsid w:val="007B3FAF"/>
    <w:rsid w:val="007B4877"/>
    <w:rsid w:val="007B4DFF"/>
    <w:rsid w:val="007B4FB0"/>
    <w:rsid w:val="007B519D"/>
    <w:rsid w:val="007B55F5"/>
    <w:rsid w:val="007B57A3"/>
    <w:rsid w:val="007B59EF"/>
    <w:rsid w:val="007B5AFD"/>
    <w:rsid w:val="007B60B7"/>
    <w:rsid w:val="007B67BA"/>
    <w:rsid w:val="007B6B58"/>
    <w:rsid w:val="007B6D23"/>
    <w:rsid w:val="007B75B6"/>
    <w:rsid w:val="007B7867"/>
    <w:rsid w:val="007B7C42"/>
    <w:rsid w:val="007C0346"/>
    <w:rsid w:val="007C06C5"/>
    <w:rsid w:val="007C0F0E"/>
    <w:rsid w:val="007C1468"/>
    <w:rsid w:val="007C1482"/>
    <w:rsid w:val="007C1606"/>
    <w:rsid w:val="007C196B"/>
    <w:rsid w:val="007C1F28"/>
    <w:rsid w:val="007C21A3"/>
    <w:rsid w:val="007C2A86"/>
    <w:rsid w:val="007C32BC"/>
    <w:rsid w:val="007C3361"/>
    <w:rsid w:val="007C3879"/>
    <w:rsid w:val="007C3B85"/>
    <w:rsid w:val="007C3D88"/>
    <w:rsid w:val="007C49D0"/>
    <w:rsid w:val="007C4EA2"/>
    <w:rsid w:val="007C5120"/>
    <w:rsid w:val="007C514F"/>
    <w:rsid w:val="007C53CD"/>
    <w:rsid w:val="007C53F9"/>
    <w:rsid w:val="007C5581"/>
    <w:rsid w:val="007C5F8A"/>
    <w:rsid w:val="007C60DB"/>
    <w:rsid w:val="007C687B"/>
    <w:rsid w:val="007C6A44"/>
    <w:rsid w:val="007C730A"/>
    <w:rsid w:val="007C791D"/>
    <w:rsid w:val="007C7C7D"/>
    <w:rsid w:val="007D031B"/>
    <w:rsid w:val="007D0503"/>
    <w:rsid w:val="007D06E5"/>
    <w:rsid w:val="007D0710"/>
    <w:rsid w:val="007D1678"/>
    <w:rsid w:val="007D179E"/>
    <w:rsid w:val="007D1C7E"/>
    <w:rsid w:val="007D220B"/>
    <w:rsid w:val="007D24AE"/>
    <w:rsid w:val="007D36E6"/>
    <w:rsid w:val="007D4AEF"/>
    <w:rsid w:val="007D4C76"/>
    <w:rsid w:val="007D4F11"/>
    <w:rsid w:val="007D5335"/>
    <w:rsid w:val="007D53C8"/>
    <w:rsid w:val="007D57D8"/>
    <w:rsid w:val="007D585F"/>
    <w:rsid w:val="007D5ACE"/>
    <w:rsid w:val="007D6087"/>
    <w:rsid w:val="007D611B"/>
    <w:rsid w:val="007D612D"/>
    <w:rsid w:val="007D6847"/>
    <w:rsid w:val="007D6FB4"/>
    <w:rsid w:val="007D7002"/>
    <w:rsid w:val="007D7439"/>
    <w:rsid w:val="007D79B6"/>
    <w:rsid w:val="007E00DE"/>
    <w:rsid w:val="007E1E8D"/>
    <w:rsid w:val="007E2390"/>
    <w:rsid w:val="007E2F56"/>
    <w:rsid w:val="007E3240"/>
    <w:rsid w:val="007E33F8"/>
    <w:rsid w:val="007E36D9"/>
    <w:rsid w:val="007E37A0"/>
    <w:rsid w:val="007E3E8B"/>
    <w:rsid w:val="007E4623"/>
    <w:rsid w:val="007E477C"/>
    <w:rsid w:val="007E4DAC"/>
    <w:rsid w:val="007E4EE3"/>
    <w:rsid w:val="007E54CA"/>
    <w:rsid w:val="007E5E7E"/>
    <w:rsid w:val="007E5ECA"/>
    <w:rsid w:val="007E5F1B"/>
    <w:rsid w:val="007E60D2"/>
    <w:rsid w:val="007E64A4"/>
    <w:rsid w:val="007E6DCC"/>
    <w:rsid w:val="007E6F88"/>
    <w:rsid w:val="007E717E"/>
    <w:rsid w:val="007E79CA"/>
    <w:rsid w:val="007F0C7B"/>
    <w:rsid w:val="007F0E35"/>
    <w:rsid w:val="007F0F91"/>
    <w:rsid w:val="007F132A"/>
    <w:rsid w:val="007F17CB"/>
    <w:rsid w:val="007F199A"/>
    <w:rsid w:val="007F1E66"/>
    <w:rsid w:val="007F23C3"/>
    <w:rsid w:val="007F2435"/>
    <w:rsid w:val="007F31E6"/>
    <w:rsid w:val="007F4BF3"/>
    <w:rsid w:val="007F4D52"/>
    <w:rsid w:val="007F5596"/>
    <w:rsid w:val="007F6485"/>
    <w:rsid w:val="007F6A53"/>
    <w:rsid w:val="007F6B4A"/>
    <w:rsid w:val="007F6E08"/>
    <w:rsid w:val="007F72C0"/>
    <w:rsid w:val="007F748C"/>
    <w:rsid w:val="007F76DE"/>
    <w:rsid w:val="007F7AC7"/>
    <w:rsid w:val="007F7E5D"/>
    <w:rsid w:val="00800738"/>
    <w:rsid w:val="00800916"/>
    <w:rsid w:val="0080138E"/>
    <w:rsid w:val="008014D0"/>
    <w:rsid w:val="00801BFA"/>
    <w:rsid w:val="00802D4F"/>
    <w:rsid w:val="00804A6F"/>
    <w:rsid w:val="00804B0A"/>
    <w:rsid w:val="00805420"/>
    <w:rsid w:val="0080554E"/>
    <w:rsid w:val="00805964"/>
    <w:rsid w:val="00805AA9"/>
    <w:rsid w:val="00805C59"/>
    <w:rsid w:val="0080689A"/>
    <w:rsid w:val="0080693F"/>
    <w:rsid w:val="00806EFB"/>
    <w:rsid w:val="008079F0"/>
    <w:rsid w:val="00807FD3"/>
    <w:rsid w:val="00810198"/>
    <w:rsid w:val="00810252"/>
    <w:rsid w:val="00810408"/>
    <w:rsid w:val="00810684"/>
    <w:rsid w:val="008107A1"/>
    <w:rsid w:val="00810CEE"/>
    <w:rsid w:val="00810F2B"/>
    <w:rsid w:val="00811135"/>
    <w:rsid w:val="008112E4"/>
    <w:rsid w:val="00811C8C"/>
    <w:rsid w:val="00811D13"/>
    <w:rsid w:val="00811FD9"/>
    <w:rsid w:val="008123EF"/>
    <w:rsid w:val="008126C3"/>
    <w:rsid w:val="00812917"/>
    <w:rsid w:val="00812AC3"/>
    <w:rsid w:val="0081300B"/>
    <w:rsid w:val="0081372B"/>
    <w:rsid w:val="00813C3C"/>
    <w:rsid w:val="00813E3C"/>
    <w:rsid w:val="00813FC1"/>
    <w:rsid w:val="00814278"/>
    <w:rsid w:val="008150EC"/>
    <w:rsid w:val="00815B0C"/>
    <w:rsid w:val="00817656"/>
    <w:rsid w:val="00817876"/>
    <w:rsid w:val="0081797E"/>
    <w:rsid w:val="00817CB2"/>
    <w:rsid w:val="00817F30"/>
    <w:rsid w:val="00820E15"/>
    <w:rsid w:val="00821948"/>
    <w:rsid w:val="00821A27"/>
    <w:rsid w:val="00821F21"/>
    <w:rsid w:val="008226AF"/>
    <w:rsid w:val="00822A36"/>
    <w:rsid w:val="00822C1F"/>
    <w:rsid w:val="008230F1"/>
    <w:rsid w:val="0082356B"/>
    <w:rsid w:val="008237FF"/>
    <w:rsid w:val="00823C81"/>
    <w:rsid w:val="0082464F"/>
    <w:rsid w:val="008250E7"/>
    <w:rsid w:val="008256E5"/>
    <w:rsid w:val="00825E50"/>
    <w:rsid w:val="00826433"/>
    <w:rsid w:val="008269C7"/>
    <w:rsid w:val="00830D90"/>
    <w:rsid w:val="00831127"/>
    <w:rsid w:val="008319E4"/>
    <w:rsid w:val="00832362"/>
    <w:rsid w:val="00832961"/>
    <w:rsid w:val="00832D59"/>
    <w:rsid w:val="008337D9"/>
    <w:rsid w:val="0083458D"/>
    <w:rsid w:val="008347A7"/>
    <w:rsid w:val="00834881"/>
    <w:rsid w:val="00834C41"/>
    <w:rsid w:val="008353DE"/>
    <w:rsid w:val="0083549A"/>
    <w:rsid w:val="00835A8F"/>
    <w:rsid w:val="008361CC"/>
    <w:rsid w:val="00836312"/>
    <w:rsid w:val="008364E7"/>
    <w:rsid w:val="008368A1"/>
    <w:rsid w:val="008368B3"/>
    <w:rsid w:val="00836CC2"/>
    <w:rsid w:val="00836E0F"/>
    <w:rsid w:val="0083753F"/>
    <w:rsid w:val="008376D9"/>
    <w:rsid w:val="00837C47"/>
    <w:rsid w:val="0084089B"/>
    <w:rsid w:val="008410C6"/>
    <w:rsid w:val="008418EC"/>
    <w:rsid w:val="00841A3B"/>
    <w:rsid w:val="00841EF5"/>
    <w:rsid w:val="00842781"/>
    <w:rsid w:val="00843474"/>
    <w:rsid w:val="008438CE"/>
    <w:rsid w:val="00843C93"/>
    <w:rsid w:val="00843DBF"/>
    <w:rsid w:val="00843FD9"/>
    <w:rsid w:val="0084427D"/>
    <w:rsid w:val="0084472C"/>
    <w:rsid w:val="008449A0"/>
    <w:rsid w:val="00844A6D"/>
    <w:rsid w:val="00844EEF"/>
    <w:rsid w:val="008456B4"/>
    <w:rsid w:val="00845710"/>
    <w:rsid w:val="00845A7B"/>
    <w:rsid w:val="00845CD5"/>
    <w:rsid w:val="00846580"/>
    <w:rsid w:val="00846739"/>
    <w:rsid w:val="00846740"/>
    <w:rsid w:val="00846CB3"/>
    <w:rsid w:val="00846DBF"/>
    <w:rsid w:val="00847D8B"/>
    <w:rsid w:val="0085000C"/>
    <w:rsid w:val="00850E91"/>
    <w:rsid w:val="008515E2"/>
    <w:rsid w:val="00851A03"/>
    <w:rsid w:val="00851FDE"/>
    <w:rsid w:val="00852436"/>
    <w:rsid w:val="008525B2"/>
    <w:rsid w:val="00852E47"/>
    <w:rsid w:val="00852E83"/>
    <w:rsid w:val="00853CAE"/>
    <w:rsid w:val="00853DC3"/>
    <w:rsid w:val="00853EC1"/>
    <w:rsid w:val="00854009"/>
    <w:rsid w:val="0085455A"/>
    <w:rsid w:val="0085479D"/>
    <w:rsid w:val="00854A7F"/>
    <w:rsid w:val="00854AE2"/>
    <w:rsid w:val="00854D2E"/>
    <w:rsid w:val="00855193"/>
    <w:rsid w:val="00855D82"/>
    <w:rsid w:val="008567A8"/>
    <w:rsid w:val="00856F2F"/>
    <w:rsid w:val="0085708A"/>
    <w:rsid w:val="00857C2E"/>
    <w:rsid w:val="00860235"/>
    <w:rsid w:val="008605A5"/>
    <w:rsid w:val="0086063D"/>
    <w:rsid w:val="008609E9"/>
    <w:rsid w:val="00860DD9"/>
    <w:rsid w:val="00861306"/>
    <w:rsid w:val="008614D9"/>
    <w:rsid w:val="008629E7"/>
    <w:rsid w:val="00862AB5"/>
    <w:rsid w:val="008635C4"/>
    <w:rsid w:val="00863763"/>
    <w:rsid w:val="00863A74"/>
    <w:rsid w:val="00864933"/>
    <w:rsid w:val="00864C11"/>
    <w:rsid w:val="00865435"/>
    <w:rsid w:val="0086564E"/>
    <w:rsid w:val="00866861"/>
    <w:rsid w:val="00866D1D"/>
    <w:rsid w:val="00866F1E"/>
    <w:rsid w:val="00867168"/>
    <w:rsid w:val="008677A2"/>
    <w:rsid w:val="00867CD3"/>
    <w:rsid w:val="00867DEC"/>
    <w:rsid w:val="00870F06"/>
    <w:rsid w:val="0087246C"/>
    <w:rsid w:val="008726D0"/>
    <w:rsid w:val="00872802"/>
    <w:rsid w:val="00872B0C"/>
    <w:rsid w:val="008733CB"/>
    <w:rsid w:val="008740C8"/>
    <w:rsid w:val="008741E1"/>
    <w:rsid w:val="00874741"/>
    <w:rsid w:val="00874FE7"/>
    <w:rsid w:val="00875696"/>
    <w:rsid w:val="00875FE3"/>
    <w:rsid w:val="00876293"/>
    <w:rsid w:val="0087694A"/>
    <w:rsid w:val="00876DA3"/>
    <w:rsid w:val="00876EF6"/>
    <w:rsid w:val="0087794C"/>
    <w:rsid w:val="00877AA2"/>
    <w:rsid w:val="00877EEA"/>
    <w:rsid w:val="00880553"/>
    <w:rsid w:val="00880739"/>
    <w:rsid w:val="008807A9"/>
    <w:rsid w:val="00881A48"/>
    <w:rsid w:val="008832DD"/>
    <w:rsid w:val="00883690"/>
    <w:rsid w:val="008836B9"/>
    <w:rsid w:val="00883C65"/>
    <w:rsid w:val="00883F79"/>
    <w:rsid w:val="008842F2"/>
    <w:rsid w:val="00884822"/>
    <w:rsid w:val="008849F3"/>
    <w:rsid w:val="00884AC2"/>
    <w:rsid w:val="00884FB2"/>
    <w:rsid w:val="0088511F"/>
    <w:rsid w:val="00885212"/>
    <w:rsid w:val="008854DC"/>
    <w:rsid w:val="0088568F"/>
    <w:rsid w:val="00885AAB"/>
    <w:rsid w:val="008861D4"/>
    <w:rsid w:val="00886FE6"/>
    <w:rsid w:val="00887144"/>
    <w:rsid w:val="00887EE3"/>
    <w:rsid w:val="00890001"/>
    <w:rsid w:val="0089025C"/>
    <w:rsid w:val="008910CB"/>
    <w:rsid w:val="008913EC"/>
    <w:rsid w:val="0089252C"/>
    <w:rsid w:val="00892936"/>
    <w:rsid w:val="00892DB8"/>
    <w:rsid w:val="0089329B"/>
    <w:rsid w:val="008934F3"/>
    <w:rsid w:val="00893A2C"/>
    <w:rsid w:val="00893E0B"/>
    <w:rsid w:val="00893F3E"/>
    <w:rsid w:val="0089442A"/>
    <w:rsid w:val="0089480A"/>
    <w:rsid w:val="00895236"/>
    <w:rsid w:val="00895283"/>
    <w:rsid w:val="00895F7E"/>
    <w:rsid w:val="008964CA"/>
    <w:rsid w:val="008969D5"/>
    <w:rsid w:val="00897320"/>
    <w:rsid w:val="00897390"/>
    <w:rsid w:val="00897AB5"/>
    <w:rsid w:val="00897F77"/>
    <w:rsid w:val="00897FEC"/>
    <w:rsid w:val="008A0808"/>
    <w:rsid w:val="008A0B56"/>
    <w:rsid w:val="008A102D"/>
    <w:rsid w:val="008A38B2"/>
    <w:rsid w:val="008A50B5"/>
    <w:rsid w:val="008A5931"/>
    <w:rsid w:val="008A62C5"/>
    <w:rsid w:val="008A634C"/>
    <w:rsid w:val="008A64D9"/>
    <w:rsid w:val="008A678D"/>
    <w:rsid w:val="008A6BDF"/>
    <w:rsid w:val="008B05A1"/>
    <w:rsid w:val="008B06F7"/>
    <w:rsid w:val="008B08CC"/>
    <w:rsid w:val="008B0993"/>
    <w:rsid w:val="008B120B"/>
    <w:rsid w:val="008B1478"/>
    <w:rsid w:val="008B1F4A"/>
    <w:rsid w:val="008B2A6D"/>
    <w:rsid w:val="008B2BDA"/>
    <w:rsid w:val="008B3121"/>
    <w:rsid w:val="008B333A"/>
    <w:rsid w:val="008B3340"/>
    <w:rsid w:val="008B3C4A"/>
    <w:rsid w:val="008B4971"/>
    <w:rsid w:val="008B4B1F"/>
    <w:rsid w:val="008B4B4C"/>
    <w:rsid w:val="008B50E9"/>
    <w:rsid w:val="008B532E"/>
    <w:rsid w:val="008B5AA0"/>
    <w:rsid w:val="008B5D99"/>
    <w:rsid w:val="008B5F9F"/>
    <w:rsid w:val="008B64BD"/>
    <w:rsid w:val="008B652A"/>
    <w:rsid w:val="008B685E"/>
    <w:rsid w:val="008B691C"/>
    <w:rsid w:val="008B6B0C"/>
    <w:rsid w:val="008B6D02"/>
    <w:rsid w:val="008B6E67"/>
    <w:rsid w:val="008B703D"/>
    <w:rsid w:val="008B7C30"/>
    <w:rsid w:val="008C047A"/>
    <w:rsid w:val="008C0689"/>
    <w:rsid w:val="008C0BEE"/>
    <w:rsid w:val="008C1955"/>
    <w:rsid w:val="008C1B08"/>
    <w:rsid w:val="008C1DBD"/>
    <w:rsid w:val="008C2339"/>
    <w:rsid w:val="008C2B5A"/>
    <w:rsid w:val="008C2E14"/>
    <w:rsid w:val="008C3E32"/>
    <w:rsid w:val="008C4E72"/>
    <w:rsid w:val="008C521A"/>
    <w:rsid w:val="008C5B41"/>
    <w:rsid w:val="008C5EF5"/>
    <w:rsid w:val="008C662D"/>
    <w:rsid w:val="008C687F"/>
    <w:rsid w:val="008C6DC2"/>
    <w:rsid w:val="008C7246"/>
    <w:rsid w:val="008C7716"/>
    <w:rsid w:val="008C796B"/>
    <w:rsid w:val="008C79B6"/>
    <w:rsid w:val="008C7ADC"/>
    <w:rsid w:val="008C7C6A"/>
    <w:rsid w:val="008C7FA8"/>
    <w:rsid w:val="008D0284"/>
    <w:rsid w:val="008D0466"/>
    <w:rsid w:val="008D0B78"/>
    <w:rsid w:val="008D13A4"/>
    <w:rsid w:val="008D140A"/>
    <w:rsid w:val="008D15A0"/>
    <w:rsid w:val="008D190D"/>
    <w:rsid w:val="008D1BE0"/>
    <w:rsid w:val="008D1FC9"/>
    <w:rsid w:val="008D31A4"/>
    <w:rsid w:val="008D44B3"/>
    <w:rsid w:val="008D4DDD"/>
    <w:rsid w:val="008D5343"/>
    <w:rsid w:val="008D5C34"/>
    <w:rsid w:val="008D60F3"/>
    <w:rsid w:val="008D6892"/>
    <w:rsid w:val="008D69AD"/>
    <w:rsid w:val="008D7297"/>
    <w:rsid w:val="008D7DCD"/>
    <w:rsid w:val="008E023A"/>
    <w:rsid w:val="008E1095"/>
    <w:rsid w:val="008E169A"/>
    <w:rsid w:val="008E251D"/>
    <w:rsid w:val="008E2978"/>
    <w:rsid w:val="008E2BA3"/>
    <w:rsid w:val="008E3427"/>
    <w:rsid w:val="008E369A"/>
    <w:rsid w:val="008E36C4"/>
    <w:rsid w:val="008E37FE"/>
    <w:rsid w:val="008E3EB8"/>
    <w:rsid w:val="008E4CD4"/>
    <w:rsid w:val="008E4E10"/>
    <w:rsid w:val="008E4F61"/>
    <w:rsid w:val="008E5722"/>
    <w:rsid w:val="008E5986"/>
    <w:rsid w:val="008E7B66"/>
    <w:rsid w:val="008E7C15"/>
    <w:rsid w:val="008F021D"/>
    <w:rsid w:val="008F05C3"/>
    <w:rsid w:val="008F0AE8"/>
    <w:rsid w:val="008F0DE3"/>
    <w:rsid w:val="008F10BD"/>
    <w:rsid w:val="008F18F3"/>
    <w:rsid w:val="008F1C94"/>
    <w:rsid w:val="008F25E7"/>
    <w:rsid w:val="008F2819"/>
    <w:rsid w:val="008F311E"/>
    <w:rsid w:val="008F3C73"/>
    <w:rsid w:val="008F45EC"/>
    <w:rsid w:val="008F4C99"/>
    <w:rsid w:val="008F4DB7"/>
    <w:rsid w:val="008F51F7"/>
    <w:rsid w:val="008F5655"/>
    <w:rsid w:val="008F5971"/>
    <w:rsid w:val="008F6331"/>
    <w:rsid w:val="008F640B"/>
    <w:rsid w:val="008F6458"/>
    <w:rsid w:val="008F6E54"/>
    <w:rsid w:val="008F6F39"/>
    <w:rsid w:val="008F6F9C"/>
    <w:rsid w:val="008F74E9"/>
    <w:rsid w:val="0090002E"/>
    <w:rsid w:val="0090029B"/>
    <w:rsid w:val="00900B77"/>
    <w:rsid w:val="00902368"/>
    <w:rsid w:val="009023A7"/>
    <w:rsid w:val="0090332A"/>
    <w:rsid w:val="0090354E"/>
    <w:rsid w:val="00903AB3"/>
    <w:rsid w:val="00903CB7"/>
    <w:rsid w:val="00904111"/>
    <w:rsid w:val="00904268"/>
    <w:rsid w:val="00904A9C"/>
    <w:rsid w:val="00905398"/>
    <w:rsid w:val="00905AC8"/>
    <w:rsid w:val="009062CE"/>
    <w:rsid w:val="0090689F"/>
    <w:rsid w:val="009069A6"/>
    <w:rsid w:val="00910392"/>
    <w:rsid w:val="00911009"/>
    <w:rsid w:val="00912191"/>
    <w:rsid w:val="00913707"/>
    <w:rsid w:val="0091379B"/>
    <w:rsid w:val="009138A9"/>
    <w:rsid w:val="00914DAA"/>
    <w:rsid w:val="00914DF0"/>
    <w:rsid w:val="009158B5"/>
    <w:rsid w:val="009159F4"/>
    <w:rsid w:val="00915B47"/>
    <w:rsid w:val="00915E97"/>
    <w:rsid w:val="009161A5"/>
    <w:rsid w:val="00916622"/>
    <w:rsid w:val="009166E5"/>
    <w:rsid w:val="00916D7C"/>
    <w:rsid w:val="009170AA"/>
    <w:rsid w:val="009176AD"/>
    <w:rsid w:val="009178E7"/>
    <w:rsid w:val="00917C17"/>
    <w:rsid w:val="00917E63"/>
    <w:rsid w:val="00920023"/>
    <w:rsid w:val="00920587"/>
    <w:rsid w:val="00920AB6"/>
    <w:rsid w:val="00922AB1"/>
    <w:rsid w:val="00922E7D"/>
    <w:rsid w:val="00923E47"/>
    <w:rsid w:val="00924B08"/>
    <w:rsid w:val="00924E68"/>
    <w:rsid w:val="0092530F"/>
    <w:rsid w:val="00926475"/>
    <w:rsid w:val="00926524"/>
    <w:rsid w:val="00926565"/>
    <w:rsid w:val="009266D9"/>
    <w:rsid w:val="00926DBF"/>
    <w:rsid w:val="00927653"/>
    <w:rsid w:val="009276B1"/>
    <w:rsid w:val="00927C96"/>
    <w:rsid w:val="009300CA"/>
    <w:rsid w:val="00930630"/>
    <w:rsid w:val="00930775"/>
    <w:rsid w:val="009320D4"/>
    <w:rsid w:val="0093236F"/>
    <w:rsid w:val="0093263D"/>
    <w:rsid w:val="00932E28"/>
    <w:rsid w:val="009330C4"/>
    <w:rsid w:val="00933945"/>
    <w:rsid w:val="00934566"/>
    <w:rsid w:val="00934BFF"/>
    <w:rsid w:val="00935C90"/>
    <w:rsid w:val="00935D31"/>
    <w:rsid w:val="009368ED"/>
    <w:rsid w:val="00936C32"/>
    <w:rsid w:val="009370F1"/>
    <w:rsid w:val="009370F4"/>
    <w:rsid w:val="00937E4C"/>
    <w:rsid w:val="0094271B"/>
    <w:rsid w:val="009434D6"/>
    <w:rsid w:val="00944632"/>
    <w:rsid w:val="009449A9"/>
    <w:rsid w:val="00944AD5"/>
    <w:rsid w:val="009457E2"/>
    <w:rsid w:val="00945985"/>
    <w:rsid w:val="00945994"/>
    <w:rsid w:val="00945B98"/>
    <w:rsid w:val="0094655C"/>
    <w:rsid w:val="0094688F"/>
    <w:rsid w:val="00946B48"/>
    <w:rsid w:val="00946BBF"/>
    <w:rsid w:val="009471F5"/>
    <w:rsid w:val="00950580"/>
    <w:rsid w:val="009506F1"/>
    <w:rsid w:val="00950940"/>
    <w:rsid w:val="00950EDA"/>
    <w:rsid w:val="00950F36"/>
    <w:rsid w:val="00950FCD"/>
    <w:rsid w:val="009518F7"/>
    <w:rsid w:val="00951C0E"/>
    <w:rsid w:val="00952BEC"/>
    <w:rsid w:val="00952D13"/>
    <w:rsid w:val="009538AA"/>
    <w:rsid w:val="00953D8A"/>
    <w:rsid w:val="00953DD0"/>
    <w:rsid w:val="00954490"/>
    <w:rsid w:val="009557DA"/>
    <w:rsid w:val="00956A98"/>
    <w:rsid w:val="00957172"/>
    <w:rsid w:val="009576FD"/>
    <w:rsid w:val="00957899"/>
    <w:rsid w:val="00957B68"/>
    <w:rsid w:val="00957E94"/>
    <w:rsid w:val="009605A4"/>
    <w:rsid w:val="00960C2E"/>
    <w:rsid w:val="00960C5D"/>
    <w:rsid w:val="00960C99"/>
    <w:rsid w:val="009611E8"/>
    <w:rsid w:val="009611FD"/>
    <w:rsid w:val="0096141D"/>
    <w:rsid w:val="009614C9"/>
    <w:rsid w:val="00961724"/>
    <w:rsid w:val="009619E3"/>
    <w:rsid w:val="00961ED1"/>
    <w:rsid w:val="009623F3"/>
    <w:rsid w:val="009624AC"/>
    <w:rsid w:val="009633D7"/>
    <w:rsid w:val="00964DE0"/>
    <w:rsid w:val="00965A79"/>
    <w:rsid w:val="009668C3"/>
    <w:rsid w:val="00966EE1"/>
    <w:rsid w:val="00967263"/>
    <w:rsid w:val="009700C9"/>
    <w:rsid w:val="0097041C"/>
    <w:rsid w:val="009704A3"/>
    <w:rsid w:val="009704B2"/>
    <w:rsid w:val="009706AB"/>
    <w:rsid w:val="00970B53"/>
    <w:rsid w:val="00972C6F"/>
    <w:rsid w:val="0097353A"/>
    <w:rsid w:val="0097371B"/>
    <w:rsid w:val="00973DF5"/>
    <w:rsid w:val="00974060"/>
    <w:rsid w:val="00974C94"/>
    <w:rsid w:val="00975285"/>
    <w:rsid w:val="00975A09"/>
    <w:rsid w:val="00975D77"/>
    <w:rsid w:val="00976370"/>
    <w:rsid w:val="009769D0"/>
    <w:rsid w:val="00976CFB"/>
    <w:rsid w:val="00976DD0"/>
    <w:rsid w:val="00976F2C"/>
    <w:rsid w:val="00976F86"/>
    <w:rsid w:val="009775E5"/>
    <w:rsid w:val="00980063"/>
    <w:rsid w:val="00980427"/>
    <w:rsid w:val="00980C78"/>
    <w:rsid w:val="00981521"/>
    <w:rsid w:val="00981C84"/>
    <w:rsid w:val="009821F1"/>
    <w:rsid w:val="00982FB8"/>
    <w:rsid w:val="009838FE"/>
    <w:rsid w:val="00983B24"/>
    <w:rsid w:val="0098428D"/>
    <w:rsid w:val="00984460"/>
    <w:rsid w:val="009846F8"/>
    <w:rsid w:val="00984C75"/>
    <w:rsid w:val="00985072"/>
    <w:rsid w:val="0098551F"/>
    <w:rsid w:val="009856FA"/>
    <w:rsid w:val="00985813"/>
    <w:rsid w:val="00985936"/>
    <w:rsid w:val="00986CBB"/>
    <w:rsid w:val="00986DE1"/>
    <w:rsid w:val="009871F5"/>
    <w:rsid w:val="00987C57"/>
    <w:rsid w:val="00987C91"/>
    <w:rsid w:val="00990AD8"/>
    <w:rsid w:val="00990CEE"/>
    <w:rsid w:val="00990FE0"/>
    <w:rsid w:val="009917A3"/>
    <w:rsid w:val="00991937"/>
    <w:rsid w:val="00991E2C"/>
    <w:rsid w:val="0099247B"/>
    <w:rsid w:val="00992516"/>
    <w:rsid w:val="009926A9"/>
    <w:rsid w:val="009927D4"/>
    <w:rsid w:val="0099293A"/>
    <w:rsid w:val="00992B2B"/>
    <w:rsid w:val="00992F2E"/>
    <w:rsid w:val="00993437"/>
    <w:rsid w:val="00993510"/>
    <w:rsid w:val="00993B3B"/>
    <w:rsid w:val="00994565"/>
    <w:rsid w:val="009947B6"/>
    <w:rsid w:val="00996530"/>
    <w:rsid w:val="00996A30"/>
    <w:rsid w:val="00996FAE"/>
    <w:rsid w:val="009972CE"/>
    <w:rsid w:val="00997397"/>
    <w:rsid w:val="00997EF2"/>
    <w:rsid w:val="009A0D99"/>
    <w:rsid w:val="009A0DC4"/>
    <w:rsid w:val="009A0E08"/>
    <w:rsid w:val="009A1538"/>
    <w:rsid w:val="009A1604"/>
    <w:rsid w:val="009A1984"/>
    <w:rsid w:val="009A1C74"/>
    <w:rsid w:val="009A1E9D"/>
    <w:rsid w:val="009A2543"/>
    <w:rsid w:val="009A27CA"/>
    <w:rsid w:val="009A28F2"/>
    <w:rsid w:val="009A3030"/>
    <w:rsid w:val="009A31CF"/>
    <w:rsid w:val="009A3659"/>
    <w:rsid w:val="009A4A5C"/>
    <w:rsid w:val="009A5699"/>
    <w:rsid w:val="009A5D7E"/>
    <w:rsid w:val="009A5FC6"/>
    <w:rsid w:val="009A6018"/>
    <w:rsid w:val="009A6074"/>
    <w:rsid w:val="009A6226"/>
    <w:rsid w:val="009A6403"/>
    <w:rsid w:val="009A6CF3"/>
    <w:rsid w:val="009A6CF6"/>
    <w:rsid w:val="009A6D63"/>
    <w:rsid w:val="009A6ECA"/>
    <w:rsid w:val="009A72CB"/>
    <w:rsid w:val="009A796C"/>
    <w:rsid w:val="009A7A6A"/>
    <w:rsid w:val="009B00D5"/>
    <w:rsid w:val="009B00FF"/>
    <w:rsid w:val="009B0685"/>
    <w:rsid w:val="009B0B5B"/>
    <w:rsid w:val="009B2D93"/>
    <w:rsid w:val="009B3025"/>
    <w:rsid w:val="009B3826"/>
    <w:rsid w:val="009B3DEB"/>
    <w:rsid w:val="009B42AB"/>
    <w:rsid w:val="009B42FA"/>
    <w:rsid w:val="009B446C"/>
    <w:rsid w:val="009B4534"/>
    <w:rsid w:val="009B4EE3"/>
    <w:rsid w:val="009B5360"/>
    <w:rsid w:val="009B54B1"/>
    <w:rsid w:val="009B576C"/>
    <w:rsid w:val="009B5914"/>
    <w:rsid w:val="009B5926"/>
    <w:rsid w:val="009B5C0B"/>
    <w:rsid w:val="009B5D40"/>
    <w:rsid w:val="009B6148"/>
    <w:rsid w:val="009B6588"/>
    <w:rsid w:val="009B7141"/>
    <w:rsid w:val="009B73B5"/>
    <w:rsid w:val="009B7566"/>
    <w:rsid w:val="009B7872"/>
    <w:rsid w:val="009C0404"/>
    <w:rsid w:val="009C05F5"/>
    <w:rsid w:val="009C0C8E"/>
    <w:rsid w:val="009C16E0"/>
    <w:rsid w:val="009C1866"/>
    <w:rsid w:val="009C1EA3"/>
    <w:rsid w:val="009C216C"/>
    <w:rsid w:val="009C237A"/>
    <w:rsid w:val="009C2986"/>
    <w:rsid w:val="009C2CAD"/>
    <w:rsid w:val="009C3122"/>
    <w:rsid w:val="009C39AC"/>
    <w:rsid w:val="009C3A38"/>
    <w:rsid w:val="009C3A95"/>
    <w:rsid w:val="009C4635"/>
    <w:rsid w:val="009C4833"/>
    <w:rsid w:val="009C4B04"/>
    <w:rsid w:val="009C4BFA"/>
    <w:rsid w:val="009C5381"/>
    <w:rsid w:val="009C57EA"/>
    <w:rsid w:val="009C63CE"/>
    <w:rsid w:val="009C7198"/>
    <w:rsid w:val="009C7B61"/>
    <w:rsid w:val="009D0272"/>
    <w:rsid w:val="009D17AC"/>
    <w:rsid w:val="009D1919"/>
    <w:rsid w:val="009D19A3"/>
    <w:rsid w:val="009D2A2D"/>
    <w:rsid w:val="009D3005"/>
    <w:rsid w:val="009D367C"/>
    <w:rsid w:val="009D3A71"/>
    <w:rsid w:val="009D3EE6"/>
    <w:rsid w:val="009D3F05"/>
    <w:rsid w:val="009D3F64"/>
    <w:rsid w:val="009D4294"/>
    <w:rsid w:val="009D45C6"/>
    <w:rsid w:val="009D50BE"/>
    <w:rsid w:val="009D5FAE"/>
    <w:rsid w:val="009D6232"/>
    <w:rsid w:val="009D6514"/>
    <w:rsid w:val="009D69A6"/>
    <w:rsid w:val="009D764F"/>
    <w:rsid w:val="009D7CCC"/>
    <w:rsid w:val="009E0576"/>
    <w:rsid w:val="009E2266"/>
    <w:rsid w:val="009E23D2"/>
    <w:rsid w:val="009E2A38"/>
    <w:rsid w:val="009E2A6B"/>
    <w:rsid w:val="009E2BC6"/>
    <w:rsid w:val="009E32E6"/>
    <w:rsid w:val="009E3369"/>
    <w:rsid w:val="009E3FA4"/>
    <w:rsid w:val="009E459D"/>
    <w:rsid w:val="009E493A"/>
    <w:rsid w:val="009E6277"/>
    <w:rsid w:val="009E68C7"/>
    <w:rsid w:val="009E721A"/>
    <w:rsid w:val="009E741A"/>
    <w:rsid w:val="009E770D"/>
    <w:rsid w:val="009E7BE2"/>
    <w:rsid w:val="009F058C"/>
    <w:rsid w:val="009F063A"/>
    <w:rsid w:val="009F09CA"/>
    <w:rsid w:val="009F0DDA"/>
    <w:rsid w:val="009F223E"/>
    <w:rsid w:val="009F26A6"/>
    <w:rsid w:val="009F2AA1"/>
    <w:rsid w:val="009F321E"/>
    <w:rsid w:val="009F3571"/>
    <w:rsid w:val="009F3BD6"/>
    <w:rsid w:val="009F3ED3"/>
    <w:rsid w:val="009F44F5"/>
    <w:rsid w:val="009F5151"/>
    <w:rsid w:val="009F5417"/>
    <w:rsid w:val="009F5FEB"/>
    <w:rsid w:val="009F611F"/>
    <w:rsid w:val="009F65EB"/>
    <w:rsid w:val="009F7E50"/>
    <w:rsid w:val="00A00020"/>
    <w:rsid w:val="00A00040"/>
    <w:rsid w:val="00A00CC3"/>
    <w:rsid w:val="00A00D4A"/>
    <w:rsid w:val="00A00FEF"/>
    <w:rsid w:val="00A01732"/>
    <w:rsid w:val="00A01894"/>
    <w:rsid w:val="00A022DB"/>
    <w:rsid w:val="00A028CA"/>
    <w:rsid w:val="00A035F2"/>
    <w:rsid w:val="00A048E5"/>
    <w:rsid w:val="00A04B1A"/>
    <w:rsid w:val="00A070F1"/>
    <w:rsid w:val="00A0710C"/>
    <w:rsid w:val="00A07C7E"/>
    <w:rsid w:val="00A07D3A"/>
    <w:rsid w:val="00A11A29"/>
    <w:rsid w:val="00A11A2B"/>
    <w:rsid w:val="00A11ABF"/>
    <w:rsid w:val="00A12329"/>
    <w:rsid w:val="00A1239D"/>
    <w:rsid w:val="00A1247F"/>
    <w:rsid w:val="00A13125"/>
    <w:rsid w:val="00A13932"/>
    <w:rsid w:val="00A13BCA"/>
    <w:rsid w:val="00A14082"/>
    <w:rsid w:val="00A1423B"/>
    <w:rsid w:val="00A14366"/>
    <w:rsid w:val="00A145EA"/>
    <w:rsid w:val="00A1547A"/>
    <w:rsid w:val="00A15A36"/>
    <w:rsid w:val="00A15ACB"/>
    <w:rsid w:val="00A15F5D"/>
    <w:rsid w:val="00A16237"/>
    <w:rsid w:val="00A16A8B"/>
    <w:rsid w:val="00A17793"/>
    <w:rsid w:val="00A177DA"/>
    <w:rsid w:val="00A17D21"/>
    <w:rsid w:val="00A17DA3"/>
    <w:rsid w:val="00A20587"/>
    <w:rsid w:val="00A20690"/>
    <w:rsid w:val="00A20852"/>
    <w:rsid w:val="00A20AC0"/>
    <w:rsid w:val="00A2116D"/>
    <w:rsid w:val="00A21CE1"/>
    <w:rsid w:val="00A220BB"/>
    <w:rsid w:val="00A22B65"/>
    <w:rsid w:val="00A23375"/>
    <w:rsid w:val="00A2338B"/>
    <w:rsid w:val="00A23536"/>
    <w:rsid w:val="00A23D02"/>
    <w:rsid w:val="00A25D1B"/>
    <w:rsid w:val="00A26613"/>
    <w:rsid w:val="00A26E6C"/>
    <w:rsid w:val="00A26E79"/>
    <w:rsid w:val="00A275B6"/>
    <w:rsid w:val="00A27721"/>
    <w:rsid w:val="00A2775D"/>
    <w:rsid w:val="00A27D6D"/>
    <w:rsid w:val="00A30237"/>
    <w:rsid w:val="00A30C49"/>
    <w:rsid w:val="00A30EB9"/>
    <w:rsid w:val="00A3111C"/>
    <w:rsid w:val="00A314AF"/>
    <w:rsid w:val="00A31607"/>
    <w:rsid w:val="00A322DD"/>
    <w:rsid w:val="00A32DE2"/>
    <w:rsid w:val="00A3475B"/>
    <w:rsid w:val="00A34772"/>
    <w:rsid w:val="00A34D23"/>
    <w:rsid w:val="00A35452"/>
    <w:rsid w:val="00A35455"/>
    <w:rsid w:val="00A35724"/>
    <w:rsid w:val="00A35728"/>
    <w:rsid w:val="00A35A51"/>
    <w:rsid w:val="00A36599"/>
    <w:rsid w:val="00A3690A"/>
    <w:rsid w:val="00A369B5"/>
    <w:rsid w:val="00A36B85"/>
    <w:rsid w:val="00A36F1D"/>
    <w:rsid w:val="00A3769C"/>
    <w:rsid w:val="00A37B9A"/>
    <w:rsid w:val="00A37D6A"/>
    <w:rsid w:val="00A37EF8"/>
    <w:rsid w:val="00A40DB3"/>
    <w:rsid w:val="00A40E30"/>
    <w:rsid w:val="00A4184E"/>
    <w:rsid w:val="00A41A52"/>
    <w:rsid w:val="00A42145"/>
    <w:rsid w:val="00A430D9"/>
    <w:rsid w:val="00A43170"/>
    <w:rsid w:val="00A432B9"/>
    <w:rsid w:val="00A436E9"/>
    <w:rsid w:val="00A4391F"/>
    <w:rsid w:val="00A43A37"/>
    <w:rsid w:val="00A445D8"/>
    <w:rsid w:val="00A45373"/>
    <w:rsid w:val="00A45DC4"/>
    <w:rsid w:val="00A46C97"/>
    <w:rsid w:val="00A508CF"/>
    <w:rsid w:val="00A508DB"/>
    <w:rsid w:val="00A509F6"/>
    <w:rsid w:val="00A50AB5"/>
    <w:rsid w:val="00A527B0"/>
    <w:rsid w:val="00A527E6"/>
    <w:rsid w:val="00A53098"/>
    <w:rsid w:val="00A53A93"/>
    <w:rsid w:val="00A53BA0"/>
    <w:rsid w:val="00A53E70"/>
    <w:rsid w:val="00A54161"/>
    <w:rsid w:val="00A54830"/>
    <w:rsid w:val="00A55884"/>
    <w:rsid w:val="00A565FC"/>
    <w:rsid w:val="00A56AE5"/>
    <w:rsid w:val="00A56DAC"/>
    <w:rsid w:val="00A57037"/>
    <w:rsid w:val="00A570AF"/>
    <w:rsid w:val="00A579DA"/>
    <w:rsid w:val="00A57F41"/>
    <w:rsid w:val="00A6051C"/>
    <w:rsid w:val="00A615ED"/>
    <w:rsid w:val="00A61D00"/>
    <w:rsid w:val="00A61D15"/>
    <w:rsid w:val="00A62BC4"/>
    <w:rsid w:val="00A62C08"/>
    <w:rsid w:val="00A62DAE"/>
    <w:rsid w:val="00A6398B"/>
    <w:rsid w:val="00A63F4F"/>
    <w:rsid w:val="00A648F5"/>
    <w:rsid w:val="00A64C6F"/>
    <w:rsid w:val="00A651CF"/>
    <w:rsid w:val="00A6585C"/>
    <w:rsid w:val="00A66312"/>
    <w:rsid w:val="00A66486"/>
    <w:rsid w:val="00A66BC9"/>
    <w:rsid w:val="00A67192"/>
    <w:rsid w:val="00A6749F"/>
    <w:rsid w:val="00A70137"/>
    <w:rsid w:val="00A707BF"/>
    <w:rsid w:val="00A712A9"/>
    <w:rsid w:val="00A713DC"/>
    <w:rsid w:val="00A71573"/>
    <w:rsid w:val="00A71A23"/>
    <w:rsid w:val="00A71CD3"/>
    <w:rsid w:val="00A71F2B"/>
    <w:rsid w:val="00A722E4"/>
    <w:rsid w:val="00A7386C"/>
    <w:rsid w:val="00A7430B"/>
    <w:rsid w:val="00A74F8D"/>
    <w:rsid w:val="00A75C24"/>
    <w:rsid w:val="00A7693B"/>
    <w:rsid w:val="00A77296"/>
    <w:rsid w:val="00A77481"/>
    <w:rsid w:val="00A776B9"/>
    <w:rsid w:val="00A776C2"/>
    <w:rsid w:val="00A7799E"/>
    <w:rsid w:val="00A800B9"/>
    <w:rsid w:val="00A80107"/>
    <w:rsid w:val="00A80984"/>
    <w:rsid w:val="00A80CB5"/>
    <w:rsid w:val="00A81105"/>
    <w:rsid w:val="00A812D8"/>
    <w:rsid w:val="00A81580"/>
    <w:rsid w:val="00A8166C"/>
    <w:rsid w:val="00A818B9"/>
    <w:rsid w:val="00A81E95"/>
    <w:rsid w:val="00A825DB"/>
    <w:rsid w:val="00A82D31"/>
    <w:rsid w:val="00A82F25"/>
    <w:rsid w:val="00A83956"/>
    <w:rsid w:val="00A842B0"/>
    <w:rsid w:val="00A8440C"/>
    <w:rsid w:val="00A8441C"/>
    <w:rsid w:val="00A84765"/>
    <w:rsid w:val="00A84DFF"/>
    <w:rsid w:val="00A851E8"/>
    <w:rsid w:val="00A8562E"/>
    <w:rsid w:val="00A85E15"/>
    <w:rsid w:val="00A8657B"/>
    <w:rsid w:val="00A86AC9"/>
    <w:rsid w:val="00A86B54"/>
    <w:rsid w:val="00A872CC"/>
    <w:rsid w:val="00A876F9"/>
    <w:rsid w:val="00A87CC5"/>
    <w:rsid w:val="00A905F6"/>
    <w:rsid w:val="00A90844"/>
    <w:rsid w:val="00A9095D"/>
    <w:rsid w:val="00A91281"/>
    <w:rsid w:val="00A91536"/>
    <w:rsid w:val="00A9161A"/>
    <w:rsid w:val="00A91673"/>
    <w:rsid w:val="00A91765"/>
    <w:rsid w:val="00A9206E"/>
    <w:rsid w:val="00A923BC"/>
    <w:rsid w:val="00A926D6"/>
    <w:rsid w:val="00A930B7"/>
    <w:rsid w:val="00A93562"/>
    <w:rsid w:val="00A93564"/>
    <w:rsid w:val="00A936D0"/>
    <w:rsid w:val="00A9373D"/>
    <w:rsid w:val="00A93C03"/>
    <w:rsid w:val="00A95462"/>
    <w:rsid w:val="00A95EBC"/>
    <w:rsid w:val="00A96217"/>
    <w:rsid w:val="00A9652C"/>
    <w:rsid w:val="00A96CF7"/>
    <w:rsid w:val="00A972BD"/>
    <w:rsid w:val="00A97757"/>
    <w:rsid w:val="00A97F1D"/>
    <w:rsid w:val="00AA0062"/>
    <w:rsid w:val="00AA09FE"/>
    <w:rsid w:val="00AA1D7C"/>
    <w:rsid w:val="00AA2A00"/>
    <w:rsid w:val="00AA2A45"/>
    <w:rsid w:val="00AA305B"/>
    <w:rsid w:val="00AA3694"/>
    <w:rsid w:val="00AA4350"/>
    <w:rsid w:val="00AA4375"/>
    <w:rsid w:val="00AA44A2"/>
    <w:rsid w:val="00AA49E8"/>
    <w:rsid w:val="00AA5ACD"/>
    <w:rsid w:val="00AA5F4B"/>
    <w:rsid w:val="00AA6129"/>
    <w:rsid w:val="00AA6638"/>
    <w:rsid w:val="00AA67C4"/>
    <w:rsid w:val="00AA6F87"/>
    <w:rsid w:val="00AA7397"/>
    <w:rsid w:val="00AA74EC"/>
    <w:rsid w:val="00AA7F91"/>
    <w:rsid w:val="00AB0F79"/>
    <w:rsid w:val="00AB102F"/>
    <w:rsid w:val="00AB142A"/>
    <w:rsid w:val="00AB16E0"/>
    <w:rsid w:val="00AB18AE"/>
    <w:rsid w:val="00AB276F"/>
    <w:rsid w:val="00AB433A"/>
    <w:rsid w:val="00AB4564"/>
    <w:rsid w:val="00AB46B3"/>
    <w:rsid w:val="00AB4A9F"/>
    <w:rsid w:val="00AB4F9C"/>
    <w:rsid w:val="00AB5329"/>
    <w:rsid w:val="00AB5417"/>
    <w:rsid w:val="00AB54F8"/>
    <w:rsid w:val="00AB5E30"/>
    <w:rsid w:val="00AB5E47"/>
    <w:rsid w:val="00AB6722"/>
    <w:rsid w:val="00AB6B19"/>
    <w:rsid w:val="00AB7721"/>
    <w:rsid w:val="00AB78C7"/>
    <w:rsid w:val="00AC003C"/>
    <w:rsid w:val="00AC1D88"/>
    <w:rsid w:val="00AC1E36"/>
    <w:rsid w:val="00AC291B"/>
    <w:rsid w:val="00AC3F5C"/>
    <w:rsid w:val="00AC414E"/>
    <w:rsid w:val="00AC448C"/>
    <w:rsid w:val="00AC4F68"/>
    <w:rsid w:val="00AC5BC0"/>
    <w:rsid w:val="00AC5DBB"/>
    <w:rsid w:val="00AC60EA"/>
    <w:rsid w:val="00AC684A"/>
    <w:rsid w:val="00AC6FAE"/>
    <w:rsid w:val="00AC7130"/>
    <w:rsid w:val="00AC7753"/>
    <w:rsid w:val="00AC7D80"/>
    <w:rsid w:val="00AD0159"/>
    <w:rsid w:val="00AD04E9"/>
    <w:rsid w:val="00AD0888"/>
    <w:rsid w:val="00AD1818"/>
    <w:rsid w:val="00AD1889"/>
    <w:rsid w:val="00AD2445"/>
    <w:rsid w:val="00AD2BD2"/>
    <w:rsid w:val="00AD2C8E"/>
    <w:rsid w:val="00AD2F36"/>
    <w:rsid w:val="00AD3331"/>
    <w:rsid w:val="00AD3E75"/>
    <w:rsid w:val="00AD474F"/>
    <w:rsid w:val="00AD49ED"/>
    <w:rsid w:val="00AD54AC"/>
    <w:rsid w:val="00AD57F6"/>
    <w:rsid w:val="00AD5B1D"/>
    <w:rsid w:val="00AD69D6"/>
    <w:rsid w:val="00AD71FD"/>
    <w:rsid w:val="00AD750D"/>
    <w:rsid w:val="00AD766C"/>
    <w:rsid w:val="00AE0A56"/>
    <w:rsid w:val="00AE0B2A"/>
    <w:rsid w:val="00AE10F3"/>
    <w:rsid w:val="00AE14CC"/>
    <w:rsid w:val="00AE1EC2"/>
    <w:rsid w:val="00AE3318"/>
    <w:rsid w:val="00AE345D"/>
    <w:rsid w:val="00AE3530"/>
    <w:rsid w:val="00AE372E"/>
    <w:rsid w:val="00AE4E52"/>
    <w:rsid w:val="00AE4F35"/>
    <w:rsid w:val="00AE4F44"/>
    <w:rsid w:val="00AE51BE"/>
    <w:rsid w:val="00AE5622"/>
    <w:rsid w:val="00AE5DA4"/>
    <w:rsid w:val="00AE6998"/>
    <w:rsid w:val="00AE6BF4"/>
    <w:rsid w:val="00AE6E8B"/>
    <w:rsid w:val="00AE78A6"/>
    <w:rsid w:val="00AE7987"/>
    <w:rsid w:val="00AE7E98"/>
    <w:rsid w:val="00AF031E"/>
    <w:rsid w:val="00AF054E"/>
    <w:rsid w:val="00AF2A75"/>
    <w:rsid w:val="00AF33B0"/>
    <w:rsid w:val="00AF3810"/>
    <w:rsid w:val="00AF3CD2"/>
    <w:rsid w:val="00AF3DBA"/>
    <w:rsid w:val="00AF3FC5"/>
    <w:rsid w:val="00AF3FDD"/>
    <w:rsid w:val="00AF4142"/>
    <w:rsid w:val="00AF46CF"/>
    <w:rsid w:val="00AF4765"/>
    <w:rsid w:val="00AF51B7"/>
    <w:rsid w:val="00AF63EE"/>
    <w:rsid w:val="00AF6896"/>
    <w:rsid w:val="00AF7B8F"/>
    <w:rsid w:val="00AF7BB5"/>
    <w:rsid w:val="00B00170"/>
    <w:rsid w:val="00B005A4"/>
    <w:rsid w:val="00B00A45"/>
    <w:rsid w:val="00B018E3"/>
    <w:rsid w:val="00B024F6"/>
    <w:rsid w:val="00B02825"/>
    <w:rsid w:val="00B02E9A"/>
    <w:rsid w:val="00B02F23"/>
    <w:rsid w:val="00B0333D"/>
    <w:rsid w:val="00B03A38"/>
    <w:rsid w:val="00B0438A"/>
    <w:rsid w:val="00B04D39"/>
    <w:rsid w:val="00B0648A"/>
    <w:rsid w:val="00B065D4"/>
    <w:rsid w:val="00B06DCA"/>
    <w:rsid w:val="00B07C23"/>
    <w:rsid w:val="00B07CB4"/>
    <w:rsid w:val="00B07DC1"/>
    <w:rsid w:val="00B10310"/>
    <w:rsid w:val="00B10971"/>
    <w:rsid w:val="00B10F48"/>
    <w:rsid w:val="00B10F6D"/>
    <w:rsid w:val="00B11C7C"/>
    <w:rsid w:val="00B13655"/>
    <w:rsid w:val="00B13C2D"/>
    <w:rsid w:val="00B13F93"/>
    <w:rsid w:val="00B140F0"/>
    <w:rsid w:val="00B1462D"/>
    <w:rsid w:val="00B14CEC"/>
    <w:rsid w:val="00B15B27"/>
    <w:rsid w:val="00B15F8A"/>
    <w:rsid w:val="00B161F9"/>
    <w:rsid w:val="00B16573"/>
    <w:rsid w:val="00B16C94"/>
    <w:rsid w:val="00B1798E"/>
    <w:rsid w:val="00B17E7D"/>
    <w:rsid w:val="00B2033F"/>
    <w:rsid w:val="00B20639"/>
    <w:rsid w:val="00B2063E"/>
    <w:rsid w:val="00B20760"/>
    <w:rsid w:val="00B20C04"/>
    <w:rsid w:val="00B2144D"/>
    <w:rsid w:val="00B21BCC"/>
    <w:rsid w:val="00B22601"/>
    <w:rsid w:val="00B22794"/>
    <w:rsid w:val="00B22BAA"/>
    <w:rsid w:val="00B2382D"/>
    <w:rsid w:val="00B2397E"/>
    <w:rsid w:val="00B23A21"/>
    <w:rsid w:val="00B23B33"/>
    <w:rsid w:val="00B24D61"/>
    <w:rsid w:val="00B24DEF"/>
    <w:rsid w:val="00B2558D"/>
    <w:rsid w:val="00B25957"/>
    <w:rsid w:val="00B25D0B"/>
    <w:rsid w:val="00B2624D"/>
    <w:rsid w:val="00B266CA"/>
    <w:rsid w:val="00B267D0"/>
    <w:rsid w:val="00B2758E"/>
    <w:rsid w:val="00B277A1"/>
    <w:rsid w:val="00B27D2D"/>
    <w:rsid w:val="00B300D3"/>
    <w:rsid w:val="00B3017F"/>
    <w:rsid w:val="00B306CC"/>
    <w:rsid w:val="00B31226"/>
    <w:rsid w:val="00B315CE"/>
    <w:rsid w:val="00B31B92"/>
    <w:rsid w:val="00B31D93"/>
    <w:rsid w:val="00B330BE"/>
    <w:rsid w:val="00B33B0A"/>
    <w:rsid w:val="00B35293"/>
    <w:rsid w:val="00B35381"/>
    <w:rsid w:val="00B3548F"/>
    <w:rsid w:val="00B35A2B"/>
    <w:rsid w:val="00B35C86"/>
    <w:rsid w:val="00B363D9"/>
    <w:rsid w:val="00B365F1"/>
    <w:rsid w:val="00B366D7"/>
    <w:rsid w:val="00B37467"/>
    <w:rsid w:val="00B37BD1"/>
    <w:rsid w:val="00B37C14"/>
    <w:rsid w:val="00B37D96"/>
    <w:rsid w:val="00B37DCE"/>
    <w:rsid w:val="00B40BD7"/>
    <w:rsid w:val="00B40D90"/>
    <w:rsid w:val="00B40F1E"/>
    <w:rsid w:val="00B40FB2"/>
    <w:rsid w:val="00B410AF"/>
    <w:rsid w:val="00B41736"/>
    <w:rsid w:val="00B42827"/>
    <w:rsid w:val="00B4462C"/>
    <w:rsid w:val="00B44FC0"/>
    <w:rsid w:val="00B454E5"/>
    <w:rsid w:val="00B45CD4"/>
    <w:rsid w:val="00B46721"/>
    <w:rsid w:val="00B46A1A"/>
    <w:rsid w:val="00B473F7"/>
    <w:rsid w:val="00B47504"/>
    <w:rsid w:val="00B47658"/>
    <w:rsid w:val="00B47D95"/>
    <w:rsid w:val="00B47E4E"/>
    <w:rsid w:val="00B47E59"/>
    <w:rsid w:val="00B500E2"/>
    <w:rsid w:val="00B50560"/>
    <w:rsid w:val="00B50965"/>
    <w:rsid w:val="00B51D8B"/>
    <w:rsid w:val="00B52133"/>
    <w:rsid w:val="00B522FF"/>
    <w:rsid w:val="00B52937"/>
    <w:rsid w:val="00B52BC8"/>
    <w:rsid w:val="00B52DDD"/>
    <w:rsid w:val="00B534F2"/>
    <w:rsid w:val="00B537A6"/>
    <w:rsid w:val="00B538A7"/>
    <w:rsid w:val="00B540C6"/>
    <w:rsid w:val="00B5546B"/>
    <w:rsid w:val="00B566D2"/>
    <w:rsid w:val="00B5690C"/>
    <w:rsid w:val="00B56FD2"/>
    <w:rsid w:val="00B57584"/>
    <w:rsid w:val="00B60083"/>
    <w:rsid w:val="00B60592"/>
    <w:rsid w:val="00B60766"/>
    <w:rsid w:val="00B607E3"/>
    <w:rsid w:val="00B60DE0"/>
    <w:rsid w:val="00B611CC"/>
    <w:rsid w:val="00B614B1"/>
    <w:rsid w:val="00B61E95"/>
    <w:rsid w:val="00B6205D"/>
    <w:rsid w:val="00B6234C"/>
    <w:rsid w:val="00B6257F"/>
    <w:rsid w:val="00B62970"/>
    <w:rsid w:val="00B62D04"/>
    <w:rsid w:val="00B62D99"/>
    <w:rsid w:val="00B63053"/>
    <w:rsid w:val="00B63646"/>
    <w:rsid w:val="00B6393A"/>
    <w:rsid w:val="00B63B0F"/>
    <w:rsid w:val="00B6442A"/>
    <w:rsid w:val="00B646D5"/>
    <w:rsid w:val="00B64C74"/>
    <w:rsid w:val="00B64CBC"/>
    <w:rsid w:val="00B6529F"/>
    <w:rsid w:val="00B659CA"/>
    <w:rsid w:val="00B65D02"/>
    <w:rsid w:val="00B65ED4"/>
    <w:rsid w:val="00B667BF"/>
    <w:rsid w:val="00B66934"/>
    <w:rsid w:val="00B67264"/>
    <w:rsid w:val="00B6757B"/>
    <w:rsid w:val="00B67C74"/>
    <w:rsid w:val="00B707E4"/>
    <w:rsid w:val="00B71147"/>
    <w:rsid w:val="00B718F1"/>
    <w:rsid w:val="00B71B0A"/>
    <w:rsid w:val="00B72346"/>
    <w:rsid w:val="00B7284A"/>
    <w:rsid w:val="00B72AD4"/>
    <w:rsid w:val="00B732FD"/>
    <w:rsid w:val="00B733C6"/>
    <w:rsid w:val="00B73AB5"/>
    <w:rsid w:val="00B74652"/>
    <w:rsid w:val="00B74B65"/>
    <w:rsid w:val="00B74CFF"/>
    <w:rsid w:val="00B75F04"/>
    <w:rsid w:val="00B762CD"/>
    <w:rsid w:val="00B76D9F"/>
    <w:rsid w:val="00B771DD"/>
    <w:rsid w:val="00B779F3"/>
    <w:rsid w:val="00B80108"/>
    <w:rsid w:val="00B805B9"/>
    <w:rsid w:val="00B80CED"/>
    <w:rsid w:val="00B8105F"/>
    <w:rsid w:val="00B816A5"/>
    <w:rsid w:val="00B81D0B"/>
    <w:rsid w:val="00B823B8"/>
    <w:rsid w:val="00B824F7"/>
    <w:rsid w:val="00B82DF9"/>
    <w:rsid w:val="00B83878"/>
    <w:rsid w:val="00B83CAA"/>
    <w:rsid w:val="00B83D42"/>
    <w:rsid w:val="00B83F33"/>
    <w:rsid w:val="00B84535"/>
    <w:rsid w:val="00B8483C"/>
    <w:rsid w:val="00B84995"/>
    <w:rsid w:val="00B84AB7"/>
    <w:rsid w:val="00B84B80"/>
    <w:rsid w:val="00B84ED5"/>
    <w:rsid w:val="00B84EE9"/>
    <w:rsid w:val="00B85675"/>
    <w:rsid w:val="00B87B2F"/>
    <w:rsid w:val="00B900E2"/>
    <w:rsid w:val="00B90D09"/>
    <w:rsid w:val="00B90EE3"/>
    <w:rsid w:val="00B90EE8"/>
    <w:rsid w:val="00B914F2"/>
    <w:rsid w:val="00B9197B"/>
    <w:rsid w:val="00B91F94"/>
    <w:rsid w:val="00B92152"/>
    <w:rsid w:val="00B92513"/>
    <w:rsid w:val="00B92A36"/>
    <w:rsid w:val="00B92D95"/>
    <w:rsid w:val="00B93966"/>
    <w:rsid w:val="00B94046"/>
    <w:rsid w:val="00B948B4"/>
    <w:rsid w:val="00B94CDD"/>
    <w:rsid w:val="00B95414"/>
    <w:rsid w:val="00B954A3"/>
    <w:rsid w:val="00B95BDD"/>
    <w:rsid w:val="00B95CC5"/>
    <w:rsid w:val="00B969D1"/>
    <w:rsid w:val="00B96F18"/>
    <w:rsid w:val="00B97326"/>
    <w:rsid w:val="00B9771E"/>
    <w:rsid w:val="00B97A64"/>
    <w:rsid w:val="00B97B8C"/>
    <w:rsid w:val="00BA02DF"/>
    <w:rsid w:val="00BA0726"/>
    <w:rsid w:val="00BA1444"/>
    <w:rsid w:val="00BA1A24"/>
    <w:rsid w:val="00BA248B"/>
    <w:rsid w:val="00BA29A0"/>
    <w:rsid w:val="00BA2E71"/>
    <w:rsid w:val="00BA30F4"/>
    <w:rsid w:val="00BA4142"/>
    <w:rsid w:val="00BA4780"/>
    <w:rsid w:val="00BA4A29"/>
    <w:rsid w:val="00BA4ED3"/>
    <w:rsid w:val="00BA5549"/>
    <w:rsid w:val="00BA5E54"/>
    <w:rsid w:val="00BA65AB"/>
    <w:rsid w:val="00BA6683"/>
    <w:rsid w:val="00BA6693"/>
    <w:rsid w:val="00BA738B"/>
    <w:rsid w:val="00BA73A9"/>
    <w:rsid w:val="00BA796E"/>
    <w:rsid w:val="00BA7E90"/>
    <w:rsid w:val="00BB032C"/>
    <w:rsid w:val="00BB0EA7"/>
    <w:rsid w:val="00BB12D0"/>
    <w:rsid w:val="00BB1A15"/>
    <w:rsid w:val="00BB1BAA"/>
    <w:rsid w:val="00BB25D8"/>
    <w:rsid w:val="00BB2757"/>
    <w:rsid w:val="00BB2CB4"/>
    <w:rsid w:val="00BB2CEE"/>
    <w:rsid w:val="00BB2D1E"/>
    <w:rsid w:val="00BB2DB8"/>
    <w:rsid w:val="00BB3F76"/>
    <w:rsid w:val="00BB4343"/>
    <w:rsid w:val="00BB5C5E"/>
    <w:rsid w:val="00BB5E18"/>
    <w:rsid w:val="00BB6806"/>
    <w:rsid w:val="00BB7145"/>
    <w:rsid w:val="00BB71B3"/>
    <w:rsid w:val="00BB758A"/>
    <w:rsid w:val="00BB775B"/>
    <w:rsid w:val="00BB77DC"/>
    <w:rsid w:val="00BB7885"/>
    <w:rsid w:val="00BB7A16"/>
    <w:rsid w:val="00BB7A9E"/>
    <w:rsid w:val="00BB7AA1"/>
    <w:rsid w:val="00BC05BD"/>
    <w:rsid w:val="00BC0DDB"/>
    <w:rsid w:val="00BC162B"/>
    <w:rsid w:val="00BC186F"/>
    <w:rsid w:val="00BC197C"/>
    <w:rsid w:val="00BC1DBF"/>
    <w:rsid w:val="00BC2135"/>
    <w:rsid w:val="00BC3E7B"/>
    <w:rsid w:val="00BC424F"/>
    <w:rsid w:val="00BC535E"/>
    <w:rsid w:val="00BC56DA"/>
    <w:rsid w:val="00BC5BFD"/>
    <w:rsid w:val="00BC6018"/>
    <w:rsid w:val="00BC677A"/>
    <w:rsid w:val="00BC6A3B"/>
    <w:rsid w:val="00BC6AA0"/>
    <w:rsid w:val="00BC708C"/>
    <w:rsid w:val="00BC77D3"/>
    <w:rsid w:val="00BC7CAF"/>
    <w:rsid w:val="00BD002A"/>
    <w:rsid w:val="00BD0275"/>
    <w:rsid w:val="00BD07C8"/>
    <w:rsid w:val="00BD07F1"/>
    <w:rsid w:val="00BD0853"/>
    <w:rsid w:val="00BD1136"/>
    <w:rsid w:val="00BD138D"/>
    <w:rsid w:val="00BD14AA"/>
    <w:rsid w:val="00BD15BC"/>
    <w:rsid w:val="00BD1632"/>
    <w:rsid w:val="00BD1A21"/>
    <w:rsid w:val="00BD1EF5"/>
    <w:rsid w:val="00BD298F"/>
    <w:rsid w:val="00BD29C5"/>
    <w:rsid w:val="00BD2EBC"/>
    <w:rsid w:val="00BD40A6"/>
    <w:rsid w:val="00BD4510"/>
    <w:rsid w:val="00BD4BF9"/>
    <w:rsid w:val="00BD4D78"/>
    <w:rsid w:val="00BD4E80"/>
    <w:rsid w:val="00BD4F84"/>
    <w:rsid w:val="00BD5B01"/>
    <w:rsid w:val="00BD7A40"/>
    <w:rsid w:val="00BD7CC7"/>
    <w:rsid w:val="00BD7EBB"/>
    <w:rsid w:val="00BE0307"/>
    <w:rsid w:val="00BE0BF3"/>
    <w:rsid w:val="00BE0FB9"/>
    <w:rsid w:val="00BE18A3"/>
    <w:rsid w:val="00BE22A2"/>
    <w:rsid w:val="00BE2F26"/>
    <w:rsid w:val="00BE2FCE"/>
    <w:rsid w:val="00BE36AF"/>
    <w:rsid w:val="00BE382B"/>
    <w:rsid w:val="00BE396C"/>
    <w:rsid w:val="00BE415D"/>
    <w:rsid w:val="00BE441B"/>
    <w:rsid w:val="00BE4C31"/>
    <w:rsid w:val="00BE4DCC"/>
    <w:rsid w:val="00BE4E1E"/>
    <w:rsid w:val="00BE56F2"/>
    <w:rsid w:val="00BE5C3C"/>
    <w:rsid w:val="00BE6BE0"/>
    <w:rsid w:val="00BE7A26"/>
    <w:rsid w:val="00BE7BD1"/>
    <w:rsid w:val="00BE7C81"/>
    <w:rsid w:val="00BF00B2"/>
    <w:rsid w:val="00BF0FA6"/>
    <w:rsid w:val="00BF0FFD"/>
    <w:rsid w:val="00BF19CB"/>
    <w:rsid w:val="00BF1A8E"/>
    <w:rsid w:val="00BF1C16"/>
    <w:rsid w:val="00BF213C"/>
    <w:rsid w:val="00BF242F"/>
    <w:rsid w:val="00BF3245"/>
    <w:rsid w:val="00BF3D64"/>
    <w:rsid w:val="00BF44B3"/>
    <w:rsid w:val="00BF4549"/>
    <w:rsid w:val="00BF4E4C"/>
    <w:rsid w:val="00BF5365"/>
    <w:rsid w:val="00BF5819"/>
    <w:rsid w:val="00BF5A10"/>
    <w:rsid w:val="00BF5F2C"/>
    <w:rsid w:val="00BF699F"/>
    <w:rsid w:val="00C0030D"/>
    <w:rsid w:val="00C00DE7"/>
    <w:rsid w:val="00C00E30"/>
    <w:rsid w:val="00C0136D"/>
    <w:rsid w:val="00C031C2"/>
    <w:rsid w:val="00C034DA"/>
    <w:rsid w:val="00C036B7"/>
    <w:rsid w:val="00C03795"/>
    <w:rsid w:val="00C03FE0"/>
    <w:rsid w:val="00C04225"/>
    <w:rsid w:val="00C042A4"/>
    <w:rsid w:val="00C0434D"/>
    <w:rsid w:val="00C04AAC"/>
    <w:rsid w:val="00C04AE1"/>
    <w:rsid w:val="00C04EF2"/>
    <w:rsid w:val="00C0543C"/>
    <w:rsid w:val="00C0591B"/>
    <w:rsid w:val="00C064AE"/>
    <w:rsid w:val="00C06DA9"/>
    <w:rsid w:val="00C06E5C"/>
    <w:rsid w:val="00C07161"/>
    <w:rsid w:val="00C07578"/>
    <w:rsid w:val="00C101C0"/>
    <w:rsid w:val="00C1083A"/>
    <w:rsid w:val="00C108E0"/>
    <w:rsid w:val="00C10D9F"/>
    <w:rsid w:val="00C110ED"/>
    <w:rsid w:val="00C1160E"/>
    <w:rsid w:val="00C11AC5"/>
    <w:rsid w:val="00C11B69"/>
    <w:rsid w:val="00C11DEB"/>
    <w:rsid w:val="00C12E35"/>
    <w:rsid w:val="00C13366"/>
    <w:rsid w:val="00C13448"/>
    <w:rsid w:val="00C13606"/>
    <w:rsid w:val="00C13B42"/>
    <w:rsid w:val="00C13F98"/>
    <w:rsid w:val="00C144BD"/>
    <w:rsid w:val="00C144F6"/>
    <w:rsid w:val="00C14C6F"/>
    <w:rsid w:val="00C1557B"/>
    <w:rsid w:val="00C15743"/>
    <w:rsid w:val="00C15BF5"/>
    <w:rsid w:val="00C162B6"/>
    <w:rsid w:val="00C162FB"/>
    <w:rsid w:val="00C1712E"/>
    <w:rsid w:val="00C1731A"/>
    <w:rsid w:val="00C17399"/>
    <w:rsid w:val="00C17604"/>
    <w:rsid w:val="00C17A4D"/>
    <w:rsid w:val="00C17BD2"/>
    <w:rsid w:val="00C20223"/>
    <w:rsid w:val="00C20282"/>
    <w:rsid w:val="00C20702"/>
    <w:rsid w:val="00C20D3B"/>
    <w:rsid w:val="00C20D41"/>
    <w:rsid w:val="00C20D54"/>
    <w:rsid w:val="00C20E09"/>
    <w:rsid w:val="00C21070"/>
    <w:rsid w:val="00C210E6"/>
    <w:rsid w:val="00C212E3"/>
    <w:rsid w:val="00C213CA"/>
    <w:rsid w:val="00C21F3C"/>
    <w:rsid w:val="00C22532"/>
    <w:rsid w:val="00C228C9"/>
    <w:rsid w:val="00C2295E"/>
    <w:rsid w:val="00C22DFB"/>
    <w:rsid w:val="00C22E58"/>
    <w:rsid w:val="00C232D3"/>
    <w:rsid w:val="00C23C74"/>
    <w:rsid w:val="00C24201"/>
    <w:rsid w:val="00C24881"/>
    <w:rsid w:val="00C264A0"/>
    <w:rsid w:val="00C26BCC"/>
    <w:rsid w:val="00C27BD1"/>
    <w:rsid w:val="00C30036"/>
    <w:rsid w:val="00C30110"/>
    <w:rsid w:val="00C30690"/>
    <w:rsid w:val="00C306E4"/>
    <w:rsid w:val="00C3091F"/>
    <w:rsid w:val="00C3153B"/>
    <w:rsid w:val="00C31E00"/>
    <w:rsid w:val="00C32254"/>
    <w:rsid w:val="00C3298B"/>
    <w:rsid w:val="00C33A96"/>
    <w:rsid w:val="00C34CAA"/>
    <w:rsid w:val="00C34D23"/>
    <w:rsid w:val="00C35D72"/>
    <w:rsid w:val="00C36292"/>
    <w:rsid w:val="00C3632B"/>
    <w:rsid w:val="00C3632E"/>
    <w:rsid w:val="00C375DC"/>
    <w:rsid w:val="00C37774"/>
    <w:rsid w:val="00C37A24"/>
    <w:rsid w:val="00C40386"/>
    <w:rsid w:val="00C40F81"/>
    <w:rsid w:val="00C415F0"/>
    <w:rsid w:val="00C416B6"/>
    <w:rsid w:val="00C41C9D"/>
    <w:rsid w:val="00C41EE1"/>
    <w:rsid w:val="00C41F3A"/>
    <w:rsid w:val="00C422D6"/>
    <w:rsid w:val="00C427DD"/>
    <w:rsid w:val="00C42856"/>
    <w:rsid w:val="00C44BFD"/>
    <w:rsid w:val="00C44D12"/>
    <w:rsid w:val="00C44D4C"/>
    <w:rsid w:val="00C454CD"/>
    <w:rsid w:val="00C455DA"/>
    <w:rsid w:val="00C458CC"/>
    <w:rsid w:val="00C45E1C"/>
    <w:rsid w:val="00C468EF"/>
    <w:rsid w:val="00C46FCB"/>
    <w:rsid w:val="00C508A9"/>
    <w:rsid w:val="00C50C57"/>
    <w:rsid w:val="00C50C87"/>
    <w:rsid w:val="00C51153"/>
    <w:rsid w:val="00C511D7"/>
    <w:rsid w:val="00C51325"/>
    <w:rsid w:val="00C51E2F"/>
    <w:rsid w:val="00C522D8"/>
    <w:rsid w:val="00C524A5"/>
    <w:rsid w:val="00C52873"/>
    <w:rsid w:val="00C52C77"/>
    <w:rsid w:val="00C52E26"/>
    <w:rsid w:val="00C532A3"/>
    <w:rsid w:val="00C5499B"/>
    <w:rsid w:val="00C5752A"/>
    <w:rsid w:val="00C578FB"/>
    <w:rsid w:val="00C606A6"/>
    <w:rsid w:val="00C60A1E"/>
    <w:rsid w:val="00C60A83"/>
    <w:rsid w:val="00C60AD7"/>
    <w:rsid w:val="00C61503"/>
    <w:rsid w:val="00C61DF9"/>
    <w:rsid w:val="00C62A78"/>
    <w:rsid w:val="00C63120"/>
    <w:rsid w:val="00C63BAD"/>
    <w:rsid w:val="00C642EC"/>
    <w:rsid w:val="00C643E7"/>
    <w:rsid w:val="00C64596"/>
    <w:rsid w:val="00C64AE7"/>
    <w:rsid w:val="00C6560A"/>
    <w:rsid w:val="00C65953"/>
    <w:rsid w:val="00C65BC2"/>
    <w:rsid w:val="00C65EB3"/>
    <w:rsid w:val="00C66329"/>
    <w:rsid w:val="00C66751"/>
    <w:rsid w:val="00C67292"/>
    <w:rsid w:val="00C67A10"/>
    <w:rsid w:val="00C70280"/>
    <w:rsid w:val="00C70C41"/>
    <w:rsid w:val="00C70FDB"/>
    <w:rsid w:val="00C72546"/>
    <w:rsid w:val="00C73AE3"/>
    <w:rsid w:val="00C73DDB"/>
    <w:rsid w:val="00C73EB9"/>
    <w:rsid w:val="00C73FC1"/>
    <w:rsid w:val="00C754F1"/>
    <w:rsid w:val="00C77874"/>
    <w:rsid w:val="00C77B6E"/>
    <w:rsid w:val="00C77BAB"/>
    <w:rsid w:val="00C8000F"/>
    <w:rsid w:val="00C8018D"/>
    <w:rsid w:val="00C8041E"/>
    <w:rsid w:val="00C804FC"/>
    <w:rsid w:val="00C80AA9"/>
    <w:rsid w:val="00C80B51"/>
    <w:rsid w:val="00C8133F"/>
    <w:rsid w:val="00C818D8"/>
    <w:rsid w:val="00C81AAE"/>
    <w:rsid w:val="00C81F70"/>
    <w:rsid w:val="00C8212E"/>
    <w:rsid w:val="00C821A1"/>
    <w:rsid w:val="00C82B83"/>
    <w:rsid w:val="00C82CA9"/>
    <w:rsid w:val="00C83196"/>
    <w:rsid w:val="00C8325E"/>
    <w:rsid w:val="00C83275"/>
    <w:rsid w:val="00C83283"/>
    <w:rsid w:val="00C83A0E"/>
    <w:rsid w:val="00C83DB2"/>
    <w:rsid w:val="00C843F9"/>
    <w:rsid w:val="00C84882"/>
    <w:rsid w:val="00C84D87"/>
    <w:rsid w:val="00C84E71"/>
    <w:rsid w:val="00C85D17"/>
    <w:rsid w:val="00C85D7E"/>
    <w:rsid w:val="00C85FF8"/>
    <w:rsid w:val="00C86041"/>
    <w:rsid w:val="00C86066"/>
    <w:rsid w:val="00C860B0"/>
    <w:rsid w:val="00C865F6"/>
    <w:rsid w:val="00C86B59"/>
    <w:rsid w:val="00C86ECA"/>
    <w:rsid w:val="00C879A1"/>
    <w:rsid w:val="00C87A11"/>
    <w:rsid w:val="00C9048D"/>
    <w:rsid w:val="00C90490"/>
    <w:rsid w:val="00C909AA"/>
    <w:rsid w:val="00C90B96"/>
    <w:rsid w:val="00C91448"/>
    <w:rsid w:val="00C91577"/>
    <w:rsid w:val="00C91612"/>
    <w:rsid w:val="00C91CDF"/>
    <w:rsid w:val="00C91D28"/>
    <w:rsid w:val="00C9235E"/>
    <w:rsid w:val="00C92E04"/>
    <w:rsid w:val="00C93446"/>
    <w:rsid w:val="00C93DF6"/>
    <w:rsid w:val="00C943D2"/>
    <w:rsid w:val="00C948B9"/>
    <w:rsid w:val="00C94B72"/>
    <w:rsid w:val="00C94EA5"/>
    <w:rsid w:val="00C94EBC"/>
    <w:rsid w:val="00C9632B"/>
    <w:rsid w:val="00C963D5"/>
    <w:rsid w:val="00C9647B"/>
    <w:rsid w:val="00C964CC"/>
    <w:rsid w:val="00C967F5"/>
    <w:rsid w:val="00C96B10"/>
    <w:rsid w:val="00C9716E"/>
    <w:rsid w:val="00C97F0D"/>
    <w:rsid w:val="00CA0B85"/>
    <w:rsid w:val="00CA125A"/>
    <w:rsid w:val="00CA1529"/>
    <w:rsid w:val="00CA1815"/>
    <w:rsid w:val="00CA1A1B"/>
    <w:rsid w:val="00CA2133"/>
    <w:rsid w:val="00CA2A2F"/>
    <w:rsid w:val="00CA2EB3"/>
    <w:rsid w:val="00CA3C90"/>
    <w:rsid w:val="00CA3CDF"/>
    <w:rsid w:val="00CA4291"/>
    <w:rsid w:val="00CA4A9F"/>
    <w:rsid w:val="00CA57A7"/>
    <w:rsid w:val="00CA5F5E"/>
    <w:rsid w:val="00CA6010"/>
    <w:rsid w:val="00CA6481"/>
    <w:rsid w:val="00CA6C4A"/>
    <w:rsid w:val="00CA7C8C"/>
    <w:rsid w:val="00CB0706"/>
    <w:rsid w:val="00CB0889"/>
    <w:rsid w:val="00CB10CA"/>
    <w:rsid w:val="00CB1C9B"/>
    <w:rsid w:val="00CB2242"/>
    <w:rsid w:val="00CB2833"/>
    <w:rsid w:val="00CB3518"/>
    <w:rsid w:val="00CB4491"/>
    <w:rsid w:val="00CB45FE"/>
    <w:rsid w:val="00CB583D"/>
    <w:rsid w:val="00CB58EA"/>
    <w:rsid w:val="00CB5971"/>
    <w:rsid w:val="00CB6F16"/>
    <w:rsid w:val="00CB71F5"/>
    <w:rsid w:val="00CC0040"/>
    <w:rsid w:val="00CC0C3A"/>
    <w:rsid w:val="00CC0D30"/>
    <w:rsid w:val="00CC0D47"/>
    <w:rsid w:val="00CC1A1F"/>
    <w:rsid w:val="00CC2347"/>
    <w:rsid w:val="00CC2475"/>
    <w:rsid w:val="00CC25BF"/>
    <w:rsid w:val="00CC28AA"/>
    <w:rsid w:val="00CC2ABE"/>
    <w:rsid w:val="00CC2D57"/>
    <w:rsid w:val="00CC2FF5"/>
    <w:rsid w:val="00CC3462"/>
    <w:rsid w:val="00CC37C5"/>
    <w:rsid w:val="00CC3FD4"/>
    <w:rsid w:val="00CC4B7F"/>
    <w:rsid w:val="00CC4D80"/>
    <w:rsid w:val="00CC502A"/>
    <w:rsid w:val="00CC5AC9"/>
    <w:rsid w:val="00CC671F"/>
    <w:rsid w:val="00CC74E8"/>
    <w:rsid w:val="00CD03CC"/>
    <w:rsid w:val="00CD0A74"/>
    <w:rsid w:val="00CD1134"/>
    <w:rsid w:val="00CD17C5"/>
    <w:rsid w:val="00CD2E52"/>
    <w:rsid w:val="00CD396E"/>
    <w:rsid w:val="00CD3D64"/>
    <w:rsid w:val="00CD4112"/>
    <w:rsid w:val="00CD4962"/>
    <w:rsid w:val="00CD50C1"/>
    <w:rsid w:val="00CD5390"/>
    <w:rsid w:val="00CD5450"/>
    <w:rsid w:val="00CD57D5"/>
    <w:rsid w:val="00CD5C15"/>
    <w:rsid w:val="00CD5E48"/>
    <w:rsid w:val="00CD608D"/>
    <w:rsid w:val="00CD6098"/>
    <w:rsid w:val="00CD667E"/>
    <w:rsid w:val="00CD76AD"/>
    <w:rsid w:val="00CD79F5"/>
    <w:rsid w:val="00CD7E46"/>
    <w:rsid w:val="00CD7EFF"/>
    <w:rsid w:val="00CE021B"/>
    <w:rsid w:val="00CE095C"/>
    <w:rsid w:val="00CE0B74"/>
    <w:rsid w:val="00CE0B84"/>
    <w:rsid w:val="00CE1072"/>
    <w:rsid w:val="00CE11BC"/>
    <w:rsid w:val="00CE17E3"/>
    <w:rsid w:val="00CE1871"/>
    <w:rsid w:val="00CE1DA0"/>
    <w:rsid w:val="00CE2347"/>
    <w:rsid w:val="00CE2BEC"/>
    <w:rsid w:val="00CE2EA4"/>
    <w:rsid w:val="00CE37C6"/>
    <w:rsid w:val="00CE3A4A"/>
    <w:rsid w:val="00CE5608"/>
    <w:rsid w:val="00CE56FB"/>
    <w:rsid w:val="00CE5DBC"/>
    <w:rsid w:val="00CE635C"/>
    <w:rsid w:val="00CE707A"/>
    <w:rsid w:val="00CE714A"/>
    <w:rsid w:val="00CE775D"/>
    <w:rsid w:val="00CF0429"/>
    <w:rsid w:val="00CF0D39"/>
    <w:rsid w:val="00CF181F"/>
    <w:rsid w:val="00CF246E"/>
    <w:rsid w:val="00CF318B"/>
    <w:rsid w:val="00CF34DE"/>
    <w:rsid w:val="00CF35A8"/>
    <w:rsid w:val="00CF37C3"/>
    <w:rsid w:val="00CF3C57"/>
    <w:rsid w:val="00CF42F3"/>
    <w:rsid w:val="00CF49B2"/>
    <w:rsid w:val="00CF4F99"/>
    <w:rsid w:val="00CF5662"/>
    <w:rsid w:val="00CF6AA2"/>
    <w:rsid w:val="00CF6B14"/>
    <w:rsid w:val="00CF6CCD"/>
    <w:rsid w:val="00CF7A4E"/>
    <w:rsid w:val="00CF7ACD"/>
    <w:rsid w:val="00D003C5"/>
    <w:rsid w:val="00D007CB"/>
    <w:rsid w:val="00D00E64"/>
    <w:rsid w:val="00D00FFD"/>
    <w:rsid w:val="00D02432"/>
    <w:rsid w:val="00D02994"/>
    <w:rsid w:val="00D0347D"/>
    <w:rsid w:val="00D03AAB"/>
    <w:rsid w:val="00D03BC4"/>
    <w:rsid w:val="00D04B2B"/>
    <w:rsid w:val="00D04E8A"/>
    <w:rsid w:val="00D054A5"/>
    <w:rsid w:val="00D056A9"/>
    <w:rsid w:val="00D05BDF"/>
    <w:rsid w:val="00D0616D"/>
    <w:rsid w:val="00D06336"/>
    <w:rsid w:val="00D064BC"/>
    <w:rsid w:val="00D07961"/>
    <w:rsid w:val="00D07C11"/>
    <w:rsid w:val="00D07F59"/>
    <w:rsid w:val="00D1196F"/>
    <w:rsid w:val="00D11AAD"/>
    <w:rsid w:val="00D12BB1"/>
    <w:rsid w:val="00D12CDD"/>
    <w:rsid w:val="00D139C6"/>
    <w:rsid w:val="00D13BD5"/>
    <w:rsid w:val="00D1474A"/>
    <w:rsid w:val="00D15567"/>
    <w:rsid w:val="00D155EF"/>
    <w:rsid w:val="00D156DF"/>
    <w:rsid w:val="00D159AC"/>
    <w:rsid w:val="00D15C50"/>
    <w:rsid w:val="00D15D23"/>
    <w:rsid w:val="00D169CE"/>
    <w:rsid w:val="00D1717E"/>
    <w:rsid w:val="00D175B5"/>
    <w:rsid w:val="00D2094C"/>
    <w:rsid w:val="00D20FFF"/>
    <w:rsid w:val="00D214AD"/>
    <w:rsid w:val="00D21752"/>
    <w:rsid w:val="00D21ED5"/>
    <w:rsid w:val="00D231B7"/>
    <w:rsid w:val="00D237DF"/>
    <w:rsid w:val="00D2388B"/>
    <w:rsid w:val="00D23F8B"/>
    <w:rsid w:val="00D242B5"/>
    <w:rsid w:val="00D249BA"/>
    <w:rsid w:val="00D24B55"/>
    <w:rsid w:val="00D24D34"/>
    <w:rsid w:val="00D24D3F"/>
    <w:rsid w:val="00D25A07"/>
    <w:rsid w:val="00D261F5"/>
    <w:rsid w:val="00D270F6"/>
    <w:rsid w:val="00D271D9"/>
    <w:rsid w:val="00D2759B"/>
    <w:rsid w:val="00D276F8"/>
    <w:rsid w:val="00D3020C"/>
    <w:rsid w:val="00D30597"/>
    <w:rsid w:val="00D31A18"/>
    <w:rsid w:val="00D32B70"/>
    <w:rsid w:val="00D33769"/>
    <w:rsid w:val="00D337AB"/>
    <w:rsid w:val="00D33FCD"/>
    <w:rsid w:val="00D3406A"/>
    <w:rsid w:val="00D344A7"/>
    <w:rsid w:val="00D346DB"/>
    <w:rsid w:val="00D34B62"/>
    <w:rsid w:val="00D34EFE"/>
    <w:rsid w:val="00D351CA"/>
    <w:rsid w:val="00D35BED"/>
    <w:rsid w:val="00D35CEA"/>
    <w:rsid w:val="00D35D1A"/>
    <w:rsid w:val="00D36228"/>
    <w:rsid w:val="00D36326"/>
    <w:rsid w:val="00D36CAA"/>
    <w:rsid w:val="00D36DD3"/>
    <w:rsid w:val="00D3722F"/>
    <w:rsid w:val="00D3727F"/>
    <w:rsid w:val="00D372C2"/>
    <w:rsid w:val="00D373BD"/>
    <w:rsid w:val="00D37D15"/>
    <w:rsid w:val="00D407AC"/>
    <w:rsid w:val="00D40BEA"/>
    <w:rsid w:val="00D4233B"/>
    <w:rsid w:val="00D42481"/>
    <w:rsid w:val="00D4252C"/>
    <w:rsid w:val="00D42994"/>
    <w:rsid w:val="00D42AA0"/>
    <w:rsid w:val="00D42AE9"/>
    <w:rsid w:val="00D42C76"/>
    <w:rsid w:val="00D43A45"/>
    <w:rsid w:val="00D43B32"/>
    <w:rsid w:val="00D43D3C"/>
    <w:rsid w:val="00D440F6"/>
    <w:rsid w:val="00D44942"/>
    <w:rsid w:val="00D44C77"/>
    <w:rsid w:val="00D44EB8"/>
    <w:rsid w:val="00D46367"/>
    <w:rsid w:val="00D46882"/>
    <w:rsid w:val="00D46BC8"/>
    <w:rsid w:val="00D46F07"/>
    <w:rsid w:val="00D47964"/>
    <w:rsid w:val="00D47A32"/>
    <w:rsid w:val="00D500E2"/>
    <w:rsid w:val="00D5080F"/>
    <w:rsid w:val="00D5102A"/>
    <w:rsid w:val="00D511D6"/>
    <w:rsid w:val="00D513D9"/>
    <w:rsid w:val="00D517B5"/>
    <w:rsid w:val="00D51A96"/>
    <w:rsid w:val="00D52183"/>
    <w:rsid w:val="00D523F1"/>
    <w:rsid w:val="00D526B1"/>
    <w:rsid w:val="00D52B37"/>
    <w:rsid w:val="00D52E9D"/>
    <w:rsid w:val="00D5355C"/>
    <w:rsid w:val="00D53950"/>
    <w:rsid w:val="00D53E43"/>
    <w:rsid w:val="00D5479D"/>
    <w:rsid w:val="00D55CEE"/>
    <w:rsid w:val="00D55ED3"/>
    <w:rsid w:val="00D56CF1"/>
    <w:rsid w:val="00D5721D"/>
    <w:rsid w:val="00D57514"/>
    <w:rsid w:val="00D579AB"/>
    <w:rsid w:val="00D57E1A"/>
    <w:rsid w:val="00D57E35"/>
    <w:rsid w:val="00D600CF"/>
    <w:rsid w:val="00D60501"/>
    <w:rsid w:val="00D60598"/>
    <w:rsid w:val="00D60773"/>
    <w:rsid w:val="00D60F8D"/>
    <w:rsid w:val="00D6166C"/>
    <w:rsid w:val="00D618FE"/>
    <w:rsid w:val="00D61A95"/>
    <w:rsid w:val="00D61F04"/>
    <w:rsid w:val="00D6211C"/>
    <w:rsid w:val="00D63284"/>
    <w:rsid w:val="00D63348"/>
    <w:rsid w:val="00D63BA6"/>
    <w:rsid w:val="00D63F0B"/>
    <w:rsid w:val="00D644DB"/>
    <w:rsid w:val="00D64EFF"/>
    <w:rsid w:val="00D66710"/>
    <w:rsid w:val="00D66790"/>
    <w:rsid w:val="00D668B8"/>
    <w:rsid w:val="00D668C4"/>
    <w:rsid w:val="00D66E32"/>
    <w:rsid w:val="00D6769E"/>
    <w:rsid w:val="00D676B3"/>
    <w:rsid w:val="00D6775B"/>
    <w:rsid w:val="00D67DC2"/>
    <w:rsid w:val="00D702A2"/>
    <w:rsid w:val="00D70F3C"/>
    <w:rsid w:val="00D7122D"/>
    <w:rsid w:val="00D727C3"/>
    <w:rsid w:val="00D7294A"/>
    <w:rsid w:val="00D72F75"/>
    <w:rsid w:val="00D730A9"/>
    <w:rsid w:val="00D73435"/>
    <w:rsid w:val="00D7388A"/>
    <w:rsid w:val="00D73BAE"/>
    <w:rsid w:val="00D73DB6"/>
    <w:rsid w:val="00D7503C"/>
    <w:rsid w:val="00D75098"/>
    <w:rsid w:val="00D750B1"/>
    <w:rsid w:val="00D7518D"/>
    <w:rsid w:val="00D752EE"/>
    <w:rsid w:val="00D756B1"/>
    <w:rsid w:val="00D75742"/>
    <w:rsid w:val="00D757CF"/>
    <w:rsid w:val="00D759D8"/>
    <w:rsid w:val="00D75C68"/>
    <w:rsid w:val="00D75CBC"/>
    <w:rsid w:val="00D7674D"/>
    <w:rsid w:val="00D76A0F"/>
    <w:rsid w:val="00D76D29"/>
    <w:rsid w:val="00D778B1"/>
    <w:rsid w:val="00D7796F"/>
    <w:rsid w:val="00D8006B"/>
    <w:rsid w:val="00D80BE6"/>
    <w:rsid w:val="00D80C02"/>
    <w:rsid w:val="00D8147B"/>
    <w:rsid w:val="00D814B6"/>
    <w:rsid w:val="00D81FE7"/>
    <w:rsid w:val="00D82544"/>
    <w:rsid w:val="00D83FD8"/>
    <w:rsid w:val="00D8504B"/>
    <w:rsid w:val="00D855EB"/>
    <w:rsid w:val="00D85653"/>
    <w:rsid w:val="00D8573D"/>
    <w:rsid w:val="00D85B54"/>
    <w:rsid w:val="00D863E2"/>
    <w:rsid w:val="00D86674"/>
    <w:rsid w:val="00D86D0C"/>
    <w:rsid w:val="00D873BB"/>
    <w:rsid w:val="00D87A7E"/>
    <w:rsid w:val="00D908D8"/>
    <w:rsid w:val="00D911C8"/>
    <w:rsid w:val="00D91952"/>
    <w:rsid w:val="00D91D07"/>
    <w:rsid w:val="00D926D4"/>
    <w:rsid w:val="00D92A5F"/>
    <w:rsid w:val="00D9323D"/>
    <w:rsid w:val="00D932FC"/>
    <w:rsid w:val="00D936EA"/>
    <w:rsid w:val="00D938CE"/>
    <w:rsid w:val="00D93950"/>
    <w:rsid w:val="00D939F5"/>
    <w:rsid w:val="00D93E73"/>
    <w:rsid w:val="00D93EAA"/>
    <w:rsid w:val="00D947F3"/>
    <w:rsid w:val="00D94E3B"/>
    <w:rsid w:val="00D954F8"/>
    <w:rsid w:val="00D96022"/>
    <w:rsid w:val="00D963D5"/>
    <w:rsid w:val="00D963F7"/>
    <w:rsid w:val="00D9660B"/>
    <w:rsid w:val="00D96676"/>
    <w:rsid w:val="00D96A77"/>
    <w:rsid w:val="00D9729E"/>
    <w:rsid w:val="00D97BF3"/>
    <w:rsid w:val="00D97CBA"/>
    <w:rsid w:val="00D97FC2"/>
    <w:rsid w:val="00DA03AC"/>
    <w:rsid w:val="00DA0616"/>
    <w:rsid w:val="00DA06C9"/>
    <w:rsid w:val="00DA0ED7"/>
    <w:rsid w:val="00DA113E"/>
    <w:rsid w:val="00DA1255"/>
    <w:rsid w:val="00DA1584"/>
    <w:rsid w:val="00DA1AA2"/>
    <w:rsid w:val="00DA1E84"/>
    <w:rsid w:val="00DA22C7"/>
    <w:rsid w:val="00DA27AA"/>
    <w:rsid w:val="00DA2880"/>
    <w:rsid w:val="00DA2CEA"/>
    <w:rsid w:val="00DA326D"/>
    <w:rsid w:val="00DA3818"/>
    <w:rsid w:val="00DA39FD"/>
    <w:rsid w:val="00DA3CCC"/>
    <w:rsid w:val="00DA4423"/>
    <w:rsid w:val="00DA463A"/>
    <w:rsid w:val="00DA46C2"/>
    <w:rsid w:val="00DA4C15"/>
    <w:rsid w:val="00DA4CFF"/>
    <w:rsid w:val="00DA4D4C"/>
    <w:rsid w:val="00DA537D"/>
    <w:rsid w:val="00DA653D"/>
    <w:rsid w:val="00DA6787"/>
    <w:rsid w:val="00DA6BCF"/>
    <w:rsid w:val="00DA6E13"/>
    <w:rsid w:val="00DA7397"/>
    <w:rsid w:val="00DA7680"/>
    <w:rsid w:val="00DA78CF"/>
    <w:rsid w:val="00DA7EA2"/>
    <w:rsid w:val="00DB09D4"/>
    <w:rsid w:val="00DB16E9"/>
    <w:rsid w:val="00DB2317"/>
    <w:rsid w:val="00DB2564"/>
    <w:rsid w:val="00DB27DD"/>
    <w:rsid w:val="00DB28C7"/>
    <w:rsid w:val="00DB2AAF"/>
    <w:rsid w:val="00DB2B8A"/>
    <w:rsid w:val="00DB386A"/>
    <w:rsid w:val="00DB3A2E"/>
    <w:rsid w:val="00DB49C8"/>
    <w:rsid w:val="00DB4AE4"/>
    <w:rsid w:val="00DB5127"/>
    <w:rsid w:val="00DB51B0"/>
    <w:rsid w:val="00DB5E2F"/>
    <w:rsid w:val="00DB5FA4"/>
    <w:rsid w:val="00DB6434"/>
    <w:rsid w:val="00DB64ED"/>
    <w:rsid w:val="00DB691F"/>
    <w:rsid w:val="00DB6A80"/>
    <w:rsid w:val="00DB6FF7"/>
    <w:rsid w:val="00DC09B5"/>
    <w:rsid w:val="00DC0A9E"/>
    <w:rsid w:val="00DC0BC0"/>
    <w:rsid w:val="00DC1622"/>
    <w:rsid w:val="00DC1764"/>
    <w:rsid w:val="00DC1C39"/>
    <w:rsid w:val="00DC2169"/>
    <w:rsid w:val="00DC21F0"/>
    <w:rsid w:val="00DC2365"/>
    <w:rsid w:val="00DC2566"/>
    <w:rsid w:val="00DC2705"/>
    <w:rsid w:val="00DC2C40"/>
    <w:rsid w:val="00DC3570"/>
    <w:rsid w:val="00DC364F"/>
    <w:rsid w:val="00DC3BDF"/>
    <w:rsid w:val="00DC3C2C"/>
    <w:rsid w:val="00DC431F"/>
    <w:rsid w:val="00DC4AD8"/>
    <w:rsid w:val="00DC4E73"/>
    <w:rsid w:val="00DC56AE"/>
    <w:rsid w:val="00DC61FD"/>
    <w:rsid w:val="00DC68C6"/>
    <w:rsid w:val="00DC7350"/>
    <w:rsid w:val="00DC7432"/>
    <w:rsid w:val="00DC7BCD"/>
    <w:rsid w:val="00DC7D91"/>
    <w:rsid w:val="00DD0AC1"/>
    <w:rsid w:val="00DD0BF4"/>
    <w:rsid w:val="00DD10DE"/>
    <w:rsid w:val="00DD1407"/>
    <w:rsid w:val="00DD148E"/>
    <w:rsid w:val="00DD1E66"/>
    <w:rsid w:val="00DD267C"/>
    <w:rsid w:val="00DD2791"/>
    <w:rsid w:val="00DD3A8D"/>
    <w:rsid w:val="00DD3AA6"/>
    <w:rsid w:val="00DD4210"/>
    <w:rsid w:val="00DD432C"/>
    <w:rsid w:val="00DD4747"/>
    <w:rsid w:val="00DD5451"/>
    <w:rsid w:val="00DD54B0"/>
    <w:rsid w:val="00DD5563"/>
    <w:rsid w:val="00DD5A45"/>
    <w:rsid w:val="00DD5AF3"/>
    <w:rsid w:val="00DD64C4"/>
    <w:rsid w:val="00DD6B8F"/>
    <w:rsid w:val="00DD6D7F"/>
    <w:rsid w:val="00DD7209"/>
    <w:rsid w:val="00DD741F"/>
    <w:rsid w:val="00DD750C"/>
    <w:rsid w:val="00DD7A43"/>
    <w:rsid w:val="00DD7B56"/>
    <w:rsid w:val="00DD7D8A"/>
    <w:rsid w:val="00DE07AF"/>
    <w:rsid w:val="00DE08CB"/>
    <w:rsid w:val="00DE17AF"/>
    <w:rsid w:val="00DE1E06"/>
    <w:rsid w:val="00DE1E87"/>
    <w:rsid w:val="00DE2B3B"/>
    <w:rsid w:val="00DE329F"/>
    <w:rsid w:val="00DE334E"/>
    <w:rsid w:val="00DE3DF8"/>
    <w:rsid w:val="00DE3F5D"/>
    <w:rsid w:val="00DE4F07"/>
    <w:rsid w:val="00DE5204"/>
    <w:rsid w:val="00DE5E64"/>
    <w:rsid w:val="00DE6112"/>
    <w:rsid w:val="00DE6780"/>
    <w:rsid w:val="00DE6E41"/>
    <w:rsid w:val="00DE7B2A"/>
    <w:rsid w:val="00DE7F96"/>
    <w:rsid w:val="00DF09C6"/>
    <w:rsid w:val="00DF0BED"/>
    <w:rsid w:val="00DF0D39"/>
    <w:rsid w:val="00DF180C"/>
    <w:rsid w:val="00DF20F6"/>
    <w:rsid w:val="00DF228D"/>
    <w:rsid w:val="00DF24D2"/>
    <w:rsid w:val="00DF25DC"/>
    <w:rsid w:val="00DF2983"/>
    <w:rsid w:val="00DF2BA0"/>
    <w:rsid w:val="00DF300F"/>
    <w:rsid w:val="00DF3108"/>
    <w:rsid w:val="00DF34FB"/>
    <w:rsid w:val="00DF480F"/>
    <w:rsid w:val="00DF4868"/>
    <w:rsid w:val="00DF4AE5"/>
    <w:rsid w:val="00DF5861"/>
    <w:rsid w:val="00DF610F"/>
    <w:rsid w:val="00DF620C"/>
    <w:rsid w:val="00DF7B0C"/>
    <w:rsid w:val="00E0000D"/>
    <w:rsid w:val="00E006C1"/>
    <w:rsid w:val="00E00885"/>
    <w:rsid w:val="00E00ADC"/>
    <w:rsid w:val="00E00AE8"/>
    <w:rsid w:val="00E0179B"/>
    <w:rsid w:val="00E022EA"/>
    <w:rsid w:val="00E03D48"/>
    <w:rsid w:val="00E0453A"/>
    <w:rsid w:val="00E046CD"/>
    <w:rsid w:val="00E049DF"/>
    <w:rsid w:val="00E05036"/>
    <w:rsid w:val="00E05070"/>
    <w:rsid w:val="00E0587E"/>
    <w:rsid w:val="00E07D0D"/>
    <w:rsid w:val="00E1010A"/>
    <w:rsid w:val="00E10479"/>
    <w:rsid w:val="00E109AA"/>
    <w:rsid w:val="00E116FC"/>
    <w:rsid w:val="00E11953"/>
    <w:rsid w:val="00E11BAE"/>
    <w:rsid w:val="00E11F32"/>
    <w:rsid w:val="00E12BFE"/>
    <w:rsid w:val="00E12F82"/>
    <w:rsid w:val="00E1344B"/>
    <w:rsid w:val="00E13628"/>
    <w:rsid w:val="00E151C2"/>
    <w:rsid w:val="00E1576A"/>
    <w:rsid w:val="00E15798"/>
    <w:rsid w:val="00E157BC"/>
    <w:rsid w:val="00E16292"/>
    <w:rsid w:val="00E16A72"/>
    <w:rsid w:val="00E17479"/>
    <w:rsid w:val="00E17A75"/>
    <w:rsid w:val="00E17F1C"/>
    <w:rsid w:val="00E20F1A"/>
    <w:rsid w:val="00E2148F"/>
    <w:rsid w:val="00E2213F"/>
    <w:rsid w:val="00E221D0"/>
    <w:rsid w:val="00E22231"/>
    <w:rsid w:val="00E22B5E"/>
    <w:rsid w:val="00E22BD8"/>
    <w:rsid w:val="00E23C72"/>
    <w:rsid w:val="00E23D61"/>
    <w:rsid w:val="00E23F84"/>
    <w:rsid w:val="00E24C89"/>
    <w:rsid w:val="00E24FB0"/>
    <w:rsid w:val="00E25038"/>
    <w:rsid w:val="00E26945"/>
    <w:rsid w:val="00E269EC"/>
    <w:rsid w:val="00E26D58"/>
    <w:rsid w:val="00E27A24"/>
    <w:rsid w:val="00E27EF1"/>
    <w:rsid w:val="00E3022D"/>
    <w:rsid w:val="00E30572"/>
    <w:rsid w:val="00E30777"/>
    <w:rsid w:val="00E309FA"/>
    <w:rsid w:val="00E31181"/>
    <w:rsid w:val="00E3135A"/>
    <w:rsid w:val="00E313DA"/>
    <w:rsid w:val="00E31DAC"/>
    <w:rsid w:val="00E31FD1"/>
    <w:rsid w:val="00E32319"/>
    <w:rsid w:val="00E328A3"/>
    <w:rsid w:val="00E32919"/>
    <w:rsid w:val="00E32C49"/>
    <w:rsid w:val="00E337C6"/>
    <w:rsid w:val="00E33A5B"/>
    <w:rsid w:val="00E3435A"/>
    <w:rsid w:val="00E3435C"/>
    <w:rsid w:val="00E368DE"/>
    <w:rsid w:val="00E36C08"/>
    <w:rsid w:val="00E37480"/>
    <w:rsid w:val="00E401BE"/>
    <w:rsid w:val="00E4089D"/>
    <w:rsid w:val="00E40C51"/>
    <w:rsid w:val="00E41570"/>
    <w:rsid w:val="00E41654"/>
    <w:rsid w:val="00E41C54"/>
    <w:rsid w:val="00E42139"/>
    <w:rsid w:val="00E42355"/>
    <w:rsid w:val="00E4238E"/>
    <w:rsid w:val="00E428EA"/>
    <w:rsid w:val="00E42E4A"/>
    <w:rsid w:val="00E431AE"/>
    <w:rsid w:val="00E4358C"/>
    <w:rsid w:val="00E44200"/>
    <w:rsid w:val="00E443AE"/>
    <w:rsid w:val="00E44F23"/>
    <w:rsid w:val="00E44FAF"/>
    <w:rsid w:val="00E4547E"/>
    <w:rsid w:val="00E467C1"/>
    <w:rsid w:val="00E47189"/>
    <w:rsid w:val="00E47854"/>
    <w:rsid w:val="00E47E13"/>
    <w:rsid w:val="00E515F8"/>
    <w:rsid w:val="00E52762"/>
    <w:rsid w:val="00E52880"/>
    <w:rsid w:val="00E52900"/>
    <w:rsid w:val="00E5293F"/>
    <w:rsid w:val="00E53D1F"/>
    <w:rsid w:val="00E540FB"/>
    <w:rsid w:val="00E54338"/>
    <w:rsid w:val="00E543C5"/>
    <w:rsid w:val="00E543F2"/>
    <w:rsid w:val="00E5450F"/>
    <w:rsid w:val="00E54A11"/>
    <w:rsid w:val="00E54AE5"/>
    <w:rsid w:val="00E54F3E"/>
    <w:rsid w:val="00E5501B"/>
    <w:rsid w:val="00E554C6"/>
    <w:rsid w:val="00E5560D"/>
    <w:rsid w:val="00E55DE9"/>
    <w:rsid w:val="00E55DF2"/>
    <w:rsid w:val="00E55EE3"/>
    <w:rsid w:val="00E56018"/>
    <w:rsid w:val="00E565B2"/>
    <w:rsid w:val="00E56D51"/>
    <w:rsid w:val="00E570E7"/>
    <w:rsid w:val="00E57321"/>
    <w:rsid w:val="00E613C4"/>
    <w:rsid w:val="00E6167C"/>
    <w:rsid w:val="00E6195D"/>
    <w:rsid w:val="00E62351"/>
    <w:rsid w:val="00E63515"/>
    <w:rsid w:val="00E63CDD"/>
    <w:rsid w:val="00E644DB"/>
    <w:rsid w:val="00E64E22"/>
    <w:rsid w:val="00E651DA"/>
    <w:rsid w:val="00E652BE"/>
    <w:rsid w:val="00E65784"/>
    <w:rsid w:val="00E65788"/>
    <w:rsid w:val="00E66512"/>
    <w:rsid w:val="00E6677C"/>
    <w:rsid w:val="00E66DEC"/>
    <w:rsid w:val="00E672C8"/>
    <w:rsid w:val="00E679F4"/>
    <w:rsid w:val="00E67ADD"/>
    <w:rsid w:val="00E67CA4"/>
    <w:rsid w:val="00E7000B"/>
    <w:rsid w:val="00E7073A"/>
    <w:rsid w:val="00E70FEC"/>
    <w:rsid w:val="00E711C2"/>
    <w:rsid w:val="00E71A87"/>
    <w:rsid w:val="00E71F25"/>
    <w:rsid w:val="00E724BA"/>
    <w:rsid w:val="00E72A0D"/>
    <w:rsid w:val="00E72A94"/>
    <w:rsid w:val="00E72D49"/>
    <w:rsid w:val="00E72F3D"/>
    <w:rsid w:val="00E731D7"/>
    <w:rsid w:val="00E732E1"/>
    <w:rsid w:val="00E7370E"/>
    <w:rsid w:val="00E73AEE"/>
    <w:rsid w:val="00E74146"/>
    <w:rsid w:val="00E7510A"/>
    <w:rsid w:val="00E757BC"/>
    <w:rsid w:val="00E7584D"/>
    <w:rsid w:val="00E75D3F"/>
    <w:rsid w:val="00E762A6"/>
    <w:rsid w:val="00E76458"/>
    <w:rsid w:val="00E774A1"/>
    <w:rsid w:val="00E774EF"/>
    <w:rsid w:val="00E77601"/>
    <w:rsid w:val="00E7774F"/>
    <w:rsid w:val="00E77D4A"/>
    <w:rsid w:val="00E77E98"/>
    <w:rsid w:val="00E80473"/>
    <w:rsid w:val="00E80CF3"/>
    <w:rsid w:val="00E81B94"/>
    <w:rsid w:val="00E81F05"/>
    <w:rsid w:val="00E822B0"/>
    <w:rsid w:val="00E82E06"/>
    <w:rsid w:val="00E83225"/>
    <w:rsid w:val="00E84705"/>
    <w:rsid w:val="00E847FB"/>
    <w:rsid w:val="00E85626"/>
    <w:rsid w:val="00E85B0C"/>
    <w:rsid w:val="00E871F9"/>
    <w:rsid w:val="00E875BE"/>
    <w:rsid w:val="00E9057A"/>
    <w:rsid w:val="00E913AF"/>
    <w:rsid w:val="00E9171B"/>
    <w:rsid w:val="00E91FA5"/>
    <w:rsid w:val="00E92266"/>
    <w:rsid w:val="00E9267C"/>
    <w:rsid w:val="00E9270E"/>
    <w:rsid w:val="00E92BEB"/>
    <w:rsid w:val="00E92D56"/>
    <w:rsid w:val="00E936CD"/>
    <w:rsid w:val="00E941B2"/>
    <w:rsid w:val="00E947E4"/>
    <w:rsid w:val="00E949F4"/>
    <w:rsid w:val="00E95160"/>
    <w:rsid w:val="00E95447"/>
    <w:rsid w:val="00E95604"/>
    <w:rsid w:val="00E95F66"/>
    <w:rsid w:val="00E96D1C"/>
    <w:rsid w:val="00E97FAF"/>
    <w:rsid w:val="00EA0222"/>
    <w:rsid w:val="00EA0B5D"/>
    <w:rsid w:val="00EA0C47"/>
    <w:rsid w:val="00EA1953"/>
    <w:rsid w:val="00EA1F21"/>
    <w:rsid w:val="00EA263F"/>
    <w:rsid w:val="00EA2FF5"/>
    <w:rsid w:val="00EA3038"/>
    <w:rsid w:val="00EA315B"/>
    <w:rsid w:val="00EA40EF"/>
    <w:rsid w:val="00EA43AF"/>
    <w:rsid w:val="00EA4FCC"/>
    <w:rsid w:val="00EA501A"/>
    <w:rsid w:val="00EA53DF"/>
    <w:rsid w:val="00EA685E"/>
    <w:rsid w:val="00EA6AC0"/>
    <w:rsid w:val="00EA6B60"/>
    <w:rsid w:val="00EA6BD7"/>
    <w:rsid w:val="00EA6C8F"/>
    <w:rsid w:val="00EA75F1"/>
    <w:rsid w:val="00EA774C"/>
    <w:rsid w:val="00EA7BC3"/>
    <w:rsid w:val="00EA7F7C"/>
    <w:rsid w:val="00EB0603"/>
    <w:rsid w:val="00EB1C70"/>
    <w:rsid w:val="00EB2103"/>
    <w:rsid w:val="00EB2634"/>
    <w:rsid w:val="00EB271C"/>
    <w:rsid w:val="00EB2F5C"/>
    <w:rsid w:val="00EB3218"/>
    <w:rsid w:val="00EB468E"/>
    <w:rsid w:val="00EB48DE"/>
    <w:rsid w:val="00EB495B"/>
    <w:rsid w:val="00EB4D84"/>
    <w:rsid w:val="00EB58FF"/>
    <w:rsid w:val="00EB5C1F"/>
    <w:rsid w:val="00EB63D6"/>
    <w:rsid w:val="00EB65CA"/>
    <w:rsid w:val="00EB78EF"/>
    <w:rsid w:val="00EC0398"/>
    <w:rsid w:val="00EC03EE"/>
    <w:rsid w:val="00EC05F2"/>
    <w:rsid w:val="00EC0808"/>
    <w:rsid w:val="00EC0A01"/>
    <w:rsid w:val="00EC1278"/>
    <w:rsid w:val="00EC15C0"/>
    <w:rsid w:val="00EC1615"/>
    <w:rsid w:val="00EC2AE3"/>
    <w:rsid w:val="00EC3205"/>
    <w:rsid w:val="00EC3B15"/>
    <w:rsid w:val="00EC3C3F"/>
    <w:rsid w:val="00EC3D4A"/>
    <w:rsid w:val="00EC422B"/>
    <w:rsid w:val="00EC436C"/>
    <w:rsid w:val="00EC482F"/>
    <w:rsid w:val="00EC4B0E"/>
    <w:rsid w:val="00EC4BBE"/>
    <w:rsid w:val="00EC4DCC"/>
    <w:rsid w:val="00EC58AB"/>
    <w:rsid w:val="00EC5AEB"/>
    <w:rsid w:val="00EC5F5E"/>
    <w:rsid w:val="00EC666B"/>
    <w:rsid w:val="00EC6881"/>
    <w:rsid w:val="00EC6FD3"/>
    <w:rsid w:val="00EC735E"/>
    <w:rsid w:val="00ED170F"/>
    <w:rsid w:val="00ED19AF"/>
    <w:rsid w:val="00ED1B56"/>
    <w:rsid w:val="00ED220D"/>
    <w:rsid w:val="00ED33FD"/>
    <w:rsid w:val="00ED3596"/>
    <w:rsid w:val="00ED37B4"/>
    <w:rsid w:val="00ED38C3"/>
    <w:rsid w:val="00ED4807"/>
    <w:rsid w:val="00ED4F8F"/>
    <w:rsid w:val="00ED55FA"/>
    <w:rsid w:val="00ED55FB"/>
    <w:rsid w:val="00ED60C2"/>
    <w:rsid w:val="00ED632B"/>
    <w:rsid w:val="00ED6B98"/>
    <w:rsid w:val="00ED6CB4"/>
    <w:rsid w:val="00ED7735"/>
    <w:rsid w:val="00ED7D1C"/>
    <w:rsid w:val="00ED7EF3"/>
    <w:rsid w:val="00EE0031"/>
    <w:rsid w:val="00EE0109"/>
    <w:rsid w:val="00EE09D3"/>
    <w:rsid w:val="00EE0A95"/>
    <w:rsid w:val="00EE12F0"/>
    <w:rsid w:val="00EE2867"/>
    <w:rsid w:val="00EE2EB4"/>
    <w:rsid w:val="00EE2EC8"/>
    <w:rsid w:val="00EE37C4"/>
    <w:rsid w:val="00EE3F0E"/>
    <w:rsid w:val="00EE5996"/>
    <w:rsid w:val="00EE5BC5"/>
    <w:rsid w:val="00EE5D91"/>
    <w:rsid w:val="00EE5ED2"/>
    <w:rsid w:val="00EE7224"/>
    <w:rsid w:val="00EE73C7"/>
    <w:rsid w:val="00EE74C8"/>
    <w:rsid w:val="00EF0EC1"/>
    <w:rsid w:val="00EF18B5"/>
    <w:rsid w:val="00EF1DBF"/>
    <w:rsid w:val="00EF1ECC"/>
    <w:rsid w:val="00EF2712"/>
    <w:rsid w:val="00EF2951"/>
    <w:rsid w:val="00EF3C0C"/>
    <w:rsid w:val="00EF40BA"/>
    <w:rsid w:val="00EF4498"/>
    <w:rsid w:val="00EF504F"/>
    <w:rsid w:val="00EF5538"/>
    <w:rsid w:val="00EF6935"/>
    <w:rsid w:val="00EF7156"/>
    <w:rsid w:val="00EF7577"/>
    <w:rsid w:val="00EF782F"/>
    <w:rsid w:val="00EF7D1D"/>
    <w:rsid w:val="00EF7D94"/>
    <w:rsid w:val="00F00469"/>
    <w:rsid w:val="00F00635"/>
    <w:rsid w:val="00F00704"/>
    <w:rsid w:val="00F0139A"/>
    <w:rsid w:val="00F01EFB"/>
    <w:rsid w:val="00F021A1"/>
    <w:rsid w:val="00F02FC8"/>
    <w:rsid w:val="00F03910"/>
    <w:rsid w:val="00F03951"/>
    <w:rsid w:val="00F03A00"/>
    <w:rsid w:val="00F04B3B"/>
    <w:rsid w:val="00F04D58"/>
    <w:rsid w:val="00F04F90"/>
    <w:rsid w:val="00F0521A"/>
    <w:rsid w:val="00F05DD1"/>
    <w:rsid w:val="00F05EEB"/>
    <w:rsid w:val="00F0618B"/>
    <w:rsid w:val="00F06390"/>
    <w:rsid w:val="00F0674A"/>
    <w:rsid w:val="00F06F56"/>
    <w:rsid w:val="00F10139"/>
    <w:rsid w:val="00F104DC"/>
    <w:rsid w:val="00F11297"/>
    <w:rsid w:val="00F11366"/>
    <w:rsid w:val="00F116A4"/>
    <w:rsid w:val="00F1182F"/>
    <w:rsid w:val="00F12D18"/>
    <w:rsid w:val="00F13204"/>
    <w:rsid w:val="00F137EF"/>
    <w:rsid w:val="00F13A06"/>
    <w:rsid w:val="00F13A97"/>
    <w:rsid w:val="00F140D6"/>
    <w:rsid w:val="00F150BE"/>
    <w:rsid w:val="00F153F3"/>
    <w:rsid w:val="00F1552C"/>
    <w:rsid w:val="00F158F3"/>
    <w:rsid w:val="00F15980"/>
    <w:rsid w:val="00F15D3A"/>
    <w:rsid w:val="00F1610F"/>
    <w:rsid w:val="00F1662B"/>
    <w:rsid w:val="00F166E1"/>
    <w:rsid w:val="00F16B22"/>
    <w:rsid w:val="00F16E90"/>
    <w:rsid w:val="00F16EAB"/>
    <w:rsid w:val="00F16FB8"/>
    <w:rsid w:val="00F17B65"/>
    <w:rsid w:val="00F17DDE"/>
    <w:rsid w:val="00F17F4F"/>
    <w:rsid w:val="00F17FA6"/>
    <w:rsid w:val="00F20384"/>
    <w:rsid w:val="00F205C4"/>
    <w:rsid w:val="00F20CE2"/>
    <w:rsid w:val="00F21485"/>
    <w:rsid w:val="00F2234E"/>
    <w:rsid w:val="00F22F64"/>
    <w:rsid w:val="00F22F73"/>
    <w:rsid w:val="00F23043"/>
    <w:rsid w:val="00F23FA0"/>
    <w:rsid w:val="00F24121"/>
    <w:rsid w:val="00F2412A"/>
    <w:rsid w:val="00F2425F"/>
    <w:rsid w:val="00F24847"/>
    <w:rsid w:val="00F2494B"/>
    <w:rsid w:val="00F24BE5"/>
    <w:rsid w:val="00F25418"/>
    <w:rsid w:val="00F254F9"/>
    <w:rsid w:val="00F258A3"/>
    <w:rsid w:val="00F25940"/>
    <w:rsid w:val="00F25A2C"/>
    <w:rsid w:val="00F25CF7"/>
    <w:rsid w:val="00F25D08"/>
    <w:rsid w:val="00F25DE8"/>
    <w:rsid w:val="00F263E6"/>
    <w:rsid w:val="00F26BC1"/>
    <w:rsid w:val="00F273D2"/>
    <w:rsid w:val="00F27426"/>
    <w:rsid w:val="00F274CA"/>
    <w:rsid w:val="00F27781"/>
    <w:rsid w:val="00F2781A"/>
    <w:rsid w:val="00F27B4B"/>
    <w:rsid w:val="00F27C6E"/>
    <w:rsid w:val="00F3022A"/>
    <w:rsid w:val="00F304C5"/>
    <w:rsid w:val="00F30E39"/>
    <w:rsid w:val="00F30E94"/>
    <w:rsid w:val="00F3182C"/>
    <w:rsid w:val="00F33399"/>
    <w:rsid w:val="00F33816"/>
    <w:rsid w:val="00F33A94"/>
    <w:rsid w:val="00F346CB"/>
    <w:rsid w:val="00F347C4"/>
    <w:rsid w:val="00F3497C"/>
    <w:rsid w:val="00F352B7"/>
    <w:rsid w:val="00F35CD5"/>
    <w:rsid w:val="00F35D73"/>
    <w:rsid w:val="00F35EF8"/>
    <w:rsid w:val="00F36015"/>
    <w:rsid w:val="00F36448"/>
    <w:rsid w:val="00F36ED6"/>
    <w:rsid w:val="00F374FF"/>
    <w:rsid w:val="00F40DB2"/>
    <w:rsid w:val="00F40E1E"/>
    <w:rsid w:val="00F40FA9"/>
    <w:rsid w:val="00F41D09"/>
    <w:rsid w:val="00F42DA7"/>
    <w:rsid w:val="00F4315E"/>
    <w:rsid w:val="00F434A2"/>
    <w:rsid w:val="00F440B2"/>
    <w:rsid w:val="00F44B92"/>
    <w:rsid w:val="00F455AF"/>
    <w:rsid w:val="00F45744"/>
    <w:rsid w:val="00F45EF1"/>
    <w:rsid w:val="00F464AD"/>
    <w:rsid w:val="00F467D5"/>
    <w:rsid w:val="00F473AC"/>
    <w:rsid w:val="00F476C9"/>
    <w:rsid w:val="00F50141"/>
    <w:rsid w:val="00F5089F"/>
    <w:rsid w:val="00F51B09"/>
    <w:rsid w:val="00F51C05"/>
    <w:rsid w:val="00F52351"/>
    <w:rsid w:val="00F52BD9"/>
    <w:rsid w:val="00F545BB"/>
    <w:rsid w:val="00F54A11"/>
    <w:rsid w:val="00F54C1A"/>
    <w:rsid w:val="00F54FD2"/>
    <w:rsid w:val="00F552B6"/>
    <w:rsid w:val="00F559F5"/>
    <w:rsid w:val="00F562AE"/>
    <w:rsid w:val="00F56CB4"/>
    <w:rsid w:val="00F56F4E"/>
    <w:rsid w:val="00F606A7"/>
    <w:rsid w:val="00F609DF"/>
    <w:rsid w:val="00F60DC2"/>
    <w:rsid w:val="00F614EB"/>
    <w:rsid w:val="00F62B5F"/>
    <w:rsid w:val="00F6339F"/>
    <w:rsid w:val="00F6414F"/>
    <w:rsid w:val="00F6422E"/>
    <w:rsid w:val="00F648E3"/>
    <w:rsid w:val="00F64BF9"/>
    <w:rsid w:val="00F654CD"/>
    <w:rsid w:val="00F65947"/>
    <w:rsid w:val="00F65C00"/>
    <w:rsid w:val="00F65EA9"/>
    <w:rsid w:val="00F6677A"/>
    <w:rsid w:val="00F667A5"/>
    <w:rsid w:val="00F66D18"/>
    <w:rsid w:val="00F66E64"/>
    <w:rsid w:val="00F677A0"/>
    <w:rsid w:val="00F67B7A"/>
    <w:rsid w:val="00F70115"/>
    <w:rsid w:val="00F70B9E"/>
    <w:rsid w:val="00F71086"/>
    <w:rsid w:val="00F71563"/>
    <w:rsid w:val="00F717C4"/>
    <w:rsid w:val="00F71F9A"/>
    <w:rsid w:val="00F72482"/>
    <w:rsid w:val="00F727BF"/>
    <w:rsid w:val="00F72A3C"/>
    <w:rsid w:val="00F73147"/>
    <w:rsid w:val="00F74DB8"/>
    <w:rsid w:val="00F753EC"/>
    <w:rsid w:val="00F7621B"/>
    <w:rsid w:val="00F76EA0"/>
    <w:rsid w:val="00F77E26"/>
    <w:rsid w:val="00F804F9"/>
    <w:rsid w:val="00F80CA1"/>
    <w:rsid w:val="00F810FA"/>
    <w:rsid w:val="00F81F7D"/>
    <w:rsid w:val="00F82FCC"/>
    <w:rsid w:val="00F830B5"/>
    <w:rsid w:val="00F8385B"/>
    <w:rsid w:val="00F83A55"/>
    <w:rsid w:val="00F83FDC"/>
    <w:rsid w:val="00F845A9"/>
    <w:rsid w:val="00F84D76"/>
    <w:rsid w:val="00F85082"/>
    <w:rsid w:val="00F85274"/>
    <w:rsid w:val="00F85480"/>
    <w:rsid w:val="00F8574E"/>
    <w:rsid w:val="00F86A80"/>
    <w:rsid w:val="00F86AA9"/>
    <w:rsid w:val="00F87DE5"/>
    <w:rsid w:val="00F87F41"/>
    <w:rsid w:val="00F901F7"/>
    <w:rsid w:val="00F90A72"/>
    <w:rsid w:val="00F90E9C"/>
    <w:rsid w:val="00F90FA1"/>
    <w:rsid w:val="00F9179D"/>
    <w:rsid w:val="00F91A50"/>
    <w:rsid w:val="00F927BE"/>
    <w:rsid w:val="00F92905"/>
    <w:rsid w:val="00F92A22"/>
    <w:rsid w:val="00F92D24"/>
    <w:rsid w:val="00F930AD"/>
    <w:rsid w:val="00F930DB"/>
    <w:rsid w:val="00F932D4"/>
    <w:rsid w:val="00F9453C"/>
    <w:rsid w:val="00F9504D"/>
    <w:rsid w:val="00F9504F"/>
    <w:rsid w:val="00F95A63"/>
    <w:rsid w:val="00F95F9F"/>
    <w:rsid w:val="00F964C2"/>
    <w:rsid w:val="00F964FE"/>
    <w:rsid w:val="00F96893"/>
    <w:rsid w:val="00F96D7E"/>
    <w:rsid w:val="00F96E35"/>
    <w:rsid w:val="00F974A8"/>
    <w:rsid w:val="00F97744"/>
    <w:rsid w:val="00F97880"/>
    <w:rsid w:val="00FA01D1"/>
    <w:rsid w:val="00FA02C3"/>
    <w:rsid w:val="00FA045D"/>
    <w:rsid w:val="00FA0472"/>
    <w:rsid w:val="00FA052D"/>
    <w:rsid w:val="00FA0A86"/>
    <w:rsid w:val="00FA1D9C"/>
    <w:rsid w:val="00FA29C0"/>
    <w:rsid w:val="00FA2D6B"/>
    <w:rsid w:val="00FA308D"/>
    <w:rsid w:val="00FA31D2"/>
    <w:rsid w:val="00FA3AA9"/>
    <w:rsid w:val="00FA3C31"/>
    <w:rsid w:val="00FA4085"/>
    <w:rsid w:val="00FA42DC"/>
    <w:rsid w:val="00FA52F9"/>
    <w:rsid w:val="00FA5907"/>
    <w:rsid w:val="00FA5AE1"/>
    <w:rsid w:val="00FA66DD"/>
    <w:rsid w:val="00FA671E"/>
    <w:rsid w:val="00FA7146"/>
    <w:rsid w:val="00FA7654"/>
    <w:rsid w:val="00FA7806"/>
    <w:rsid w:val="00FA7B3B"/>
    <w:rsid w:val="00FA7C9B"/>
    <w:rsid w:val="00FB035E"/>
    <w:rsid w:val="00FB1A11"/>
    <w:rsid w:val="00FB1D48"/>
    <w:rsid w:val="00FB1E60"/>
    <w:rsid w:val="00FB21B8"/>
    <w:rsid w:val="00FB2BFD"/>
    <w:rsid w:val="00FB3450"/>
    <w:rsid w:val="00FB4514"/>
    <w:rsid w:val="00FB45A6"/>
    <w:rsid w:val="00FB4B29"/>
    <w:rsid w:val="00FB4BEB"/>
    <w:rsid w:val="00FB4C81"/>
    <w:rsid w:val="00FB581B"/>
    <w:rsid w:val="00FB5FEB"/>
    <w:rsid w:val="00FB6A47"/>
    <w:rsid w:val="00FB708B"/>
    <w:rsid w:val="00FB7414"/>
    <w:rsid w:val="00FB7785"/>
    <w:rsid w:val="00FB79A1"/>
    <w:rsid w:val="00FB7AE8"/>
    <w:rsid w:val="00FC09A8"/>
    <w:rsid w:val="00FC0C6A"/>
    <w:rsid w:val="00FC1177"/>
    <w:rsid w:val="00FC1642"/>
    <w:rsid w:val="00FC19A0"/>
    <w:rsid w:val="00FC2906"/>
    <w:rsid w:val="00FC2999"/>
    <w:rsid w:val="00FC2AB2"/>
    <w:rsid w:val="00FC2F0B"/>
    <w:rsid w:val="00FC4357"/>
    <w:rsid w:val="00FC4FE8"/>
    <w:rsid w:val="00FC5130"/>
    <w:rsid w:val="00FC584D"/>
    <w:rsid w:val="00FC5A53"/>
    <w:rsid w:val="00FC5CE9"/>
    <w:rsid w:val="00FC683B"/>
    <w:rsid w:val="00FC738F"/>
    <w:rsid w:val="00FC7B64"/>
    <w:rsid w:val="00FC7E6A"/>
    <w:rsid w:val="00FD0272"/>
    <w:rsid w:val="00FD03F5"/>
    <w:rsid w:val="00FD0561"/>
    <w:rsid w:val="00FD058B"/>
    <w:rsid w:val="00FD084C"/>
    <w:rsid w:val="00FD0AF5"/>
    <w:rsid w:val="00FD0FC1"/>
    <w:rsid w:val="00FD1A9D"/>
    <w:rsid w:val="00FD1FAF"/>
    <w:rsid w:val="00FD2063"/>
    <w:rsid w:val="00FD2167"/>
    <w:rsid w:val="00FD278F"/>
    <w:rsid w:val="00FD31D9"/>
    <w:rsid w:val="00FD326E"/>
    <w:rsid w:val="00FD34D4"/>
    <w:rsid w:val="00FD3652"/>
    <w:rsid w:val="00FD39A3"/>
    <w:rsid w:val="00FD3A18"/>
    <w:rsid w:val="00FD4CF6"/>
    <w:rsid w:val="00FD51D8"/>
    <w:rsid w:val="00FD5820"/>
    <w:rsid w:val="00FD5B29"/>
    <w:rsid w:val="00FD5CDC"/>
    <w:rsid w:val="00FD5D91"/>
    <w:rsid w:val="00FD5EE0"/>
    <w:rsid w:val="00FD67D0"/>
    <w:rsid w:val="00FD69D8"/>
    <w:rsid w:val="00FE0741"/>
    <w:rsid w:val="00FE0A8E"/>
    <w:rsid w:val="00FE196F"/>
    <w:rsid w:val="00FE19C1"/>
    <w:rsid w:val="00FE1D5B"/>
    <w:rsid w:val="00FE1E7E"/>
    <w:rsid w:val="00FE24FF"/>
    <w:rsid w:val="00FE28BB"/>
    <w:rsid w:val="00FE2949"/>
    <w:rsid w:val="00FE33A1"/>
    <w:rsid w:val="00FE3708"/>
    <w:rsid w:val="00FE4283"/>
    <w:rsid w:val="00FE4542"/>
    <w:rsid w:val="00FE4DC6"/>
    <w:rsid w:val="00FE5099"/>
    <w:rsid w:val="00FE54EA"/>
    <w:rsid w:val="00FE5A1A"/>
    <w:rsid w:val="00FE5BA8"/>
    <w:rsid w:val="00FE65D5"/>
    <w:rsid w:val="00FE6F87"/>
    <w:rsid w:val="00FE73F6"/>
    <w:rsid w:val="00FF016D"/>
    <w:rsid w:val="00FF0455"/>
    <w:rsid w:val="00FF05A2"/>
    <w:rsid w:val="00FF0E97"/>
    <w:rsid w:val="00FF1E73"/>
    <w:rsid w:val="00FF23AF"/>
    <w:rsid w:val="00FF2B2E"/>
    <w:rsid w:val="00FF2D5C"/>
    <w:rsid w:val="00FF3311"/>
    <w:rsid w:val="00FF3EE4"/>
    <w:rsid w:val="00FF42F6"/>
    <w:rsid w:val="00FF4F99"/>
    <w:rsid w:val="00FF5F9E"/>
    <w:rsid w:val="00FF637D"/>
    <w:rsid w:val="00FF6540"/>
    <w:rsid w:val="00FF6CB2"/>
    <w:rsid w:val="00FF702D"/>
    <w:rsid w:val="00FF7D64"/>
    <w:rsid w:val="3E269C52"/>
    <w:rsid w:val="51D741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B9E0"/>
  <w15:docId w15:val="{E1CAAC6A-22B1-4073-B3E7-0C3D02E3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FB6A47"/>
    <w:pPr>
      <w:numPr>
        <w:ilvl w:val="1"/>
      </w:numPr>
      <w:ind w:left="709" w:hanging="574"/>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FB6A47"/>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PlainText">
    <w:name w:val="Plain Text"/>
    <w:basedOn w:val="Normal"/>
    <w:link w:val="PlainTextChar"/>
    <w:uiPriority w:val="99"/>
    <w:rsid w:val="00D75098"/>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D75098"/>
    <w:rPr>
      <w:rFonts w:ascii="Calibri" w:eastAsia="Calibri" w:hAnsi="Calibri" w:cs="Arial"/>
      <w:szCs w:val="21"/>
    </w:rPr>
  </w:style>
  <w:style w:type="character" w:styleId="FollowedHyperlink">
    <w:name w:val="FollowedHyperlink"/>
    <w:basedOn w:val="DefaultParagraphFont"/>
    <w:uiPriority w:val="99"/>
    <w:semiHidden/>
    <w:unhideWhenUsed/>
    <w:rsid w:val="00475C58"/>
    <w:rPr>
      <w:color w:val="800080" w:themeColor="followedHyperlink"/>
      <w:u w:val="single"/>
    </w:rPr>
  </w:style>
  <w:style w:type="paragraph" w:customStyle="1" w:styleId="paragraph">
    <w:name w:val="paragraph"/>
    <w:basedOn w:val="Normal"/>
    <w:rsid w:val="0009472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eop">
    <w:name w:val="eop"/>
    <w:basedOn w:val="DefaultParagraphFont"/>
    <w:rsid w:val="00094725"/>
  </w:style>
  <w:style w:type="character" w:customStyle="1" w:styleId="normaltextrun">
    <w:name w:val="normaltextrun"/>
    <w:basedOn w:val="DefaultParagraphFont"/>
    <w:rsid w:val="00094725"/>
  </w:style>
  <w:style w:type="character" w:styleId="UnresolvedMention">
    <w:name w:val="Unresolved Mention"/>
    <w:basedOn w:val="DefaultParagraphFont"/>
    <w:uiPriority w:val="99"/>
    <w:semiHidden/>
    <w:unhideWhenUsed/>
    <w:rsid w:val="00D344A7"/>
    <w:rPr>
      <w:color w:val="605E5C"/>
      <w:shd w:val="clear" w:color="auto" w:fill="E1DFDD"/>
    </w:rPr>
  </w:style>
  <w:style w:type="character" w:styleId="Mention">
    <w:name w:val="Mention"/>
    <w:basedOn w:val="DefaultParagraphFont"/>
    <w:uiPriority w:val="99"/>
    <w:unhideWhenUsed/>
    <w:rsid w:val="00FE5BA8"/>
    <w:rPr>
      <w:color w:val="2B579A"/>
      <w:shd w:val="clear" w:color="auto" w:fill="E1DFDD"/>
    </w:rPr>
  </w:style>
  <w:style w:type="paragraph" w:styleId="ListBullet">
    <w:name w:val="List Bullet"/>
    <w:basedOn w:val="Normal"/>
    <w:uiPriority w:val="99"/>
    <w:unhideWhenUsed/>
    <w:rsid w:val="00817CB2"/>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202448439">
      <w:bodyDiv w:val="1"/>
      <w:marLeft w:val="0"/>
      <w:marRight w:val="0"/>
      <w:marTop w:val="0"/>
      <w:marBottom w:val="0"/>
      <w:divBdr>
        <w:top w:val="none" w:sz="0" w:space="0" w:color="auto"/>
        <w:left w:val="none" w:sz="0" w:space="0" w:color="auto"/>
        <w:bottom w:val="none" w:sz="0" w:space="0" w:color="auto"/>
        <w:right w:val="none" w:sz="0" w:space="0" w:color="auto"/>
      </w:divBdr>
      <w:divsChild>
        <w:div w:id="219286372">
          <w:marLeft w:val="0"/>
          <w:marRight w:val="0"/>
          <w:marTop w:val="0"/>
          <w:marBottom w:val="0"/>
          <w:divBdr>
            <w:top w:val="none" w:sz="0" w:space="0" w:color="auto"/>
            <w:left w:val="none" w:sz="0" w:space="0" w:color="auto"/>
            <w:bottom w:val="none" w:sz="0" w:space="0" w:color="auto"/>
            <w:right w:val="none" w:sz="0" w:space="0" w:color="auto"/>
          </w:divBdr>
        </w:div>
        <w:div w:id="1616908065">
          <w:marLeft w:val="0"/>
          <w:marRight w:val="0"/>
          <w:marTop w:val="0"/>
          <w:marBottom w:val="0"/>
          <w:divBdr>
            <w:top w:val="none" w:sz="0" w:space="0" w:color="auto"/>
            <w:left w:val="none" w:sz="0" w:space="0" w:color="auto"/>
            <w:bottom w:val="none" w:sz="0" w:space="0" w:color="auto"/>
            <w:right w:val="none" w:sz="0" w:space="0" w:color="auto"/>
          </w:divBdr>
        </w:div>
        <w:div w:id="1845247024">
          <w:marLeft w:val="0"/>
          <w:marRight w:val="0"/>
          <w:marTop w:val="0"/>
          <w:marBottom w:val="0"/>
          <w:divBdr>
            <w:top w:val="none" w:sz="0" w:space="0" w:color="auto"/>
            <w:left w:val="none" w:sz="0" w:space="0" w:color="auto"/>
            <w:bottom w:val="none" w:sz="0" w:space="0" w:color="auto"/>
            <w:right w:val="none" w:sz="0" w:space="0" w:color="auto"/>
          </w:divBdr>
        </w:div>
      </w:divsChild>
    </w:div>
    <w:div w:id="289554205">
      <w:bodyDiv w:val="1"/>
      <w:marLeft w:val="0"/>
      <w:marRight w:val="0"/>
      <w:marTop w:val="0"/>
      <w:marBottom w:val="0"/>
      <w:divBdr>
        <w:top w:val="none" w:sz="0" w:space="0" w:color="auto"/>
        <w:left w:val="none" w:sz="0" w:space="0" w:color="auto"/>
        <w:bottom w:val="none" w:sz="0" w:space="0" w:color="auto"/>
        <w:right w:val="none" w:sz="0" w:space="0" w:color="auto"/>
      </w:divBdr>
      <w:divsChild>
        <w:div w:id="1459449047">
          <w:marLeft w:val="0"/>
          <w:marRight w:val="0"/>
          <w:marTop w:val="0"/>
          <w:marBottom w:val="0"/>
          <w:divBdr>
            <w:top w:val="none" w:sz="0" w:space="0" w:color="auto"/>
            <w:left w:val="none" w:sz="0" w:space="0" w:color="auto"/>
            <w:bottom w:val="none" w:sz="0" w:space="0" w:color="auto"/>
            <w:right w:val="none" w:sz="0" w:space="0" w:color="auto"/>
          </w:divBdr>
        </w:div>
        <w:div w:id="2054384189">
          <w:marLeft w:val="0"/>
          <w:marRight w:val="0"/>
          <w:marTop w:val="0"/>
          <w:marBottom w:val="0"/>
          <w:divBdr>
            <w:top w:val="none" w:sz="0" w:space="0" w:color="auto"/>
            <w:left w:val="none" w:sz="0" w:space="0" w:color="auto"/>
            <w:bottom w:val="none" w:sz="0" w:space="0" w:color="auto"/>
            <w:right w:val="none" w:sz="0" w:space="0" w:color="auto"/>
          </w:divBdr>
        </w:div>
      </w:divsChild>
    </w:div>
    <w:div w:id="343895873">
      <w:bodyDiv w:val="1"/>
      <w:marLeft w:val="0"/>
      <w:marRight w:val="0"/>
      <w:marTop w:val="0"/>
      <w:marBottom w:val="0"/>
      <w:divBdr>
        <w:top w:val="none" w:sz="0" w:space="0" w:color="auto"/>
        <w:left w:val="none" w:sz="0" w:space="0" w:color="auto"/>
        <w:bottom w:val="none" w:sz="0" w:space="0" w:color="auto"/>
        <w:right w:val="none" w:sz="0" w:space="0" w:color="auto"/>
      </w:divBdr>
      <w:divsChild>
        <w:div w:id="588932391">
          <w:marLeft w:val="0"/>
          <w:marRight w:val="0"/>
          <w:marTop w:val="0"/>
          <w:marBottom w:val="0"/>
          <w:divBdr>
            <w:top w:val="none" w:sz="0" w:space="0" w:color="auto"/>
            <w:left w:val="none" w:sz="0" w:space="0" w:color="auto"/>
            <w:bottom w:val="none" w:sz="0" w:space="0" w:color="auto"/>
            <w:right w:val="none" w:sz="0" w:space="0" w:color="auto"/>
          </w:divBdr>
        </w:div>
        <w:div w:id="976256459">
          <w:marLeft w:val="0"/>
          <w:marRight w:val="0"/>
          <w:marTop w:val="0"/>
          <w:marBottom w:val="0"/>
          <w:divBdr>
            <w:top w:val="none" w:sz="0" w:space="0" w:color="auto"/>
            <w:left w:val="none" w:sz="0" w:space="0" w:color="auto"/>
            <w:bottom w:val="none" w:sz="0" w:space="0" w:color="auto"/>
            <w:right w:val="none" w:sz="0" w:space="0" w:color="auto"/>
          </w:divBdr>
        </w:div>
      </w:divsChild>
    </w:div>
    <w:div w:id="395247790">
      <w:bodyDiv w:val="1"/>
      <w:marLeft w:val="0"/>
      <w:marRight w:val="0"/>
      <w:marTop w:val="0"/>
      <w:marBottom w:val="0"/>
      <w:divBdr>
        <w:top w:val="none" w:sz="0" w:space="0" w:color="auto"/>
        <w:left w:val="none" w:sz="0" w:space="0" w:color="auto"/>
        <w:bottom w:val="none" w:sz="0" w:space="0" w:color="auto"/>
        <w:right w:val="none" w:sz="0" w:space="0" w:color="auto"/>
      </w:divBdr>
      <w:divsChild>
        <w:div w:id="893154568">
          <w:marLeft w:val="0"/>
          <w:marRight w:val="0"/>
          <w:marTop w:val="0"/>
          <w:marBottom w:val="0"/>
          <w:divBdr>
            <w:top w:val="none" w:sz="0" w:space="0" w:color="auto"/>
            <w:left w:val="none" w:sz="0" w:space="0" w:color="auto"/>
            <w:bottom w:val="none" w:sz="0" w:space="0" w:color="auto"/>
            <w:right w:val="none" w:sz="0" w:space="0" w:color="auto"/>
          </w:divBdr>
        </w:div>
        <w:div w:id="1886138422">
          <w:marLeft w:val="0"/>
          <w:marRight w:val="0"/>
          <w:marTop w:val="0"/>
          <w:marBottom w:val="0"/>
          <w:divBdr>
            <w:top w:val="none" w:sz="0" w:space="0" w:color="auto"/>
            <w:left w:val="none" w:sz="0" w:space="0" w:color="auto"/>
            <w:bottom w:val="none" w:sz="0" w:space="0" w:color="auto"/>
            <w:right w:val="none" w:sz="0" w:space="0" w:color="auto"/>
          </w:divBdr>
        </w:div>
      </w:divsChild>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691495323">
      <w:bodyDiv w:val="1"/>
      <w:marLeft w:val="0"/>
      <w:marRight w:val="0"/>
      <w:marTop w:val="0"/>
      <w:marBottom w:val="0"/>
      <w:divBdr>
        <w:top w:val="none" w:sz="0" w:space="0" w:color="auto"/>
        <w:left w:val="none" w:sz="0" w:space="0" w:color="auto"/>
        <w:bottom w:val="none" w:sz="0" w:space="0" w:color="auto"/>
        <w:right w:val="none" w:sz="0" w:space="0" w:color="auto"/>
      </w:divBdr>
      <w:divsChild>
        <w:div w:id="54478367">
          <w:marLeft w:val="0"/>
          <w:marRight w:val="0"/>
          <w:marTop w:val="0"/>
          <w:marBottom w:val="0"/>
          <w:divBdr>
            <w:top w:val="none" w:sz="0" w:space="0" w:color="auto"/>
            <w:left w:val="none" w:sz="0" w:space="0" w:color="auto"/>
            <w:bottom w:val="none" w:sz="0" w:space="0" w:color="auto"/>
            <w:right w:val="none" w:sz="0" w:space="0" w:color="auto"/>
          </w:divBdr>
        </w:div>
        <w:div w:id="1798717434">
          <w:marLeft w:val="0"/>
          <w:marRight w:val="0"/>
          <w:marTop w:val="0"/>
          <w:marBottom w:val="0"/>
          <w:divBdr>
            <w:top w:val="none" w:sz="0" w:space="0" w:color="auto"/>
            <w:left w:val="none" w:sz="0" w:space="0" w:color="auto"/>
            <w:bottom w:val="none" w:sz="0" w:space="0" w:color="auto"/>
            <w:right w:val="none" w:sz="0" w:space="0" w:color="auto"/>
          </w:divBdr>
        </w:div>
      </w:divsChild>
    </w:div>
    <w:div w:id="698507249">
      <w:bodyDiv w:val="1"/>
      <w:marLeft w:val="0"/>
      <w:marRight w:val="0"/>
      <w:marTop w:val="0"/>
      <w:marBottom w:val="0"/>
      <w:divBdr>
        <w:top w:val="none" w:sz="0" w:space="0" w:color="auto"/>
        <w:left w:val="none" w:sz="0" w:space="0" w:color="auto"/>
        <w:bottom w:val="none" w:sz="0" w:space="0" w:color="auto"/>
        <w:right w:val="none" w:sz="0" w:space="0" w:color="auto"/>
      </w:divBdr>
      <w:divsChild>
        <w:div w:id="771242606">
          <w:marLeft w:val="0"/>
          <w:marRight w:val="0"/>
          <w:marTop w:val="0"/>
          <w:marBottom w:val="0"/>
          <w:divBdr>
            <w:top w:val="none" w:sz="0" w:space="0" w:color="auto"/>
            <w:left w:val="none" w:sz="0" w:space="0" w:color="auto"/>
            <w:bottom w:val="none" w:sz="0" w:space="0" w:color="auto"/>
            <w:right w:val="none" w:sz="0" w:space="0" w:color="auto"/>
          </w:divBdr>
        </w:div>
        <w:div w:id="1426684080">
          <w:marLeft w:val="0"/>
          <w:marRight w:val="0"/>
          <w:marTop w:val="0"/>
          <w:marBottom w:val="0"/>
          <w:divBdr>
            <w:top w:val="none" w:sz="0" w:space="0" w:color="auto"/>
            <w:left w:val="none" w:sz="0" w:space="0" w:color="auto"/>
            <w:bottom w:val="none" w:sz="0" w:space="0" w:color="auto"/>
            <w:right w:val="none" w:sz="0" w:space="0" w:color="auto"/>
          </w:divBdr>
        </w:div>
      </w:divsChild>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492599490">
      <w:bodyDiv w:val="1"/>
      <w:marLeft w:val="0"/>
      <w:marRight w:val="0"/>
      <w:marTop w:val="0"/>
      <w:marBottom w:val="0"/>
      <w:divBdr>
        <w:top w:val="none" w:sz="0" w:space="0" w:color="auto"/>
        <w:left w:val="none" w:sz="0" w:space="0" w:color="auto"/>
        <w:bottom w:val="none" w:sz="0" w:space="0" w:color="auto"/>
        <w:right w:val="none" w:sz="0" w:space="0" w:color="auto"/>
      </w:divBdr>
      <w:divsChild>
        <w:div w:id="479730939">
          <w:marLeft w:val="0"/>
          <w:marRight w:val="0"/>
          <w:marTop w:val="0"/>
          <w:marBottom w:val="0"/>
          <w:divBdr>
            <w:top w:val="none" w:sz="0" w:space="0" w:color="auto"/>
            <w:left w:val="none" w:sz="0" w:space="0" w:color="auto"/>
            <w:bottom w:val="none" w:sz="0" w:space="0" w:color="auto"/>
            <w:right w:val="none" w:sz="0" w:space="0" w:color="auto"/>
          </w:divBdr>
        </w:div>
        <w:div w:id="1022896077">
          <w:marLeft w:val="0"/>
          <w:marRight w:val="0"/>
          <w:marTop w:val="0"/>
          <w:marBottom w:val="0"/>
          <w:divBdr>
            <w:top w:val="none" w:sz="0" w:space="0" w:color="auto"/>
            <w:left w:val="none" w:sz="0" w:space="0" w:color="auto"/>
            <w:bottom w:val="none" w:sz="0" w:space="0" w:color="auto"/>
            <w:right w:val="none" w:sz="0" w:space="0" w:color="auto"/>
          </w:divBdr>
        </w:div>
        <w:div w:id="1554779733">
          <w:marLeft w:val="0"/>
          <w:marRight w:val="0"/>
          <w:marTop w:val="0"/>
          <w:marBottom w:val="0"/>
          <w:divBdr>
            <w:top w:val="none" w:sz="0" w:space="0" w:color="auto"/>
            <w:left w:val="none" w:sz="0" w:space="0" w:color="auto"/>
            <w:bottom w:val="none" w:sz="0" w:space="0" w:color="auto"/>
            <w:right w:val="none" w:sz="0" w:space="0" w:color="auto"/>
          </w:divBdr>
        </w:div>
        <w:div w:id="1639141526">
          <w:marLeft w:val="0"/>
          <w:marRight w:val="0"/>
          <w:marTop w:val="0"/>
          <w:marBottom w:val="0"/>
          <w:divBdr>
            <w:top w:val="none" w:sz="0" w:space="0" w:color="auto"/>
            <w:left w:val="none" w:sz="0" w:space="0" w:color="auto"/>
            <w:bottom w:val="none" w:sz="0" w:space="0" w:color="auto"/>
            <w:right w:val="none" w:sz="0" w:space="0" w:color="auto"/>
          </w:divBdr>
        </w:div>
        <w:div w:id="1661081897">
          <w:marLeft w:val="0"/>
          <w:marRight w:val="0"/>
          <w:marTop w:val="0"/>
          <w:marBottom w:val="0"/>
          <w:divBdr>
            <w:top w:val="none" w:sz="0" w:space="0" w:color="auto"/>
            <w:left w:val="none" w:sz="0" w:space="0" w:color="auto"/>
            <w:bottom w:val="none" w:sz="0" w:space="0" w:color="auto"/>
            <w:right w:val="none" w:sz="0" w:space="0" w:color="auto"/>
          </w:divBdr>
        </w:div>
        <w:div w:id="1802723070">
          <w:marLeft w:val="0"/>
          <w:marRight w:val="0"/>
          <w:marTop w:val="0"/>
          <w:marBottom w:val="0"/>
          <w:divBdr>
            <w:top w:val="none" w:sz="0" w:space="0" w:color="auto"/>
            <w:left w:val="none" w:sz="0" w:space="0" w:color="auto"/>
            <w:bottom w:val="none" w:sz="0" w:space="0" w:color="auto"/>
            <w:right w:val="none" w:sz="0" w:space="0" w:color="auto"/>
          </w:divBdr>
        </w:div>
      </w:divsChild>
    </w:div>
    <w:div w:id="1590312511">
      <w:bodyDiv w:val="1"/>
      <w:marLeft w:val="0"/>
      <w:marRight w:val="0"/>
      <w:marTop w:val="0"/>
      <w:marBottom w:val="0"/>
      <w:divBdr>
        <w:top w:val="none" w:sz="0" w:space="0" w:color="auto"/>
        <w:left w:val="none" w:sz="0" w:space="0" w:color="auto"/>
        <w:bottom w:val="none" w:sz="0" w:space="0" w:color="auto"/>
        <w:right w:val="none" w:sz="0" w:space="0" w:color="auto"/>
      </w:divBdr>
      <w:divsChild>
        <w:div w:id="107353395">
          <w:marLeft w:val="0"/>
          <w:marRight w:val="0"/>
          <w:marTop w:val="0"/>
          <w:marBottom w:val="0"/>
          <w:divBdr>
            <w:top w:val="none" w:sz="0" w:space="0" w:color="auto"/>
            <w:left w:val="none" w:sz="0" w:space="0" w:color="auto"/>
            <w:bottom w:val="none" w:sz="0" w:space="0" w:color="auto"/>
            <w:right w:val="none" w:sz="0" w:space="0" w:color="auto"/>
          </w:divBdr>
        </w:div>
        <w:div w:id="970358486">
          <w:marLeft w:val="0"/>
          <w:marRight w:val="0"/>
          <w:marTop w:val="0"/>
          <w:marBottom w:val="0"/>
          <w:divBdr>
            <w:top w:val="none" w:sz="0" w:space="0" w:color="auto"/>
            <w:left w:val="none" w:sz="0" w:space="0" w:color="auto"/>
            <w:bottom w:val="none" w:sz="0" w:space="0" w:color="auto"/>
            <w:right w:val="none" w:sz="0" w:space="0" w:color="auto"/>
          </w:divBdr>
        </w:div>
      </w:divsChild>
    </w:div>
    <w:div w:id="1597447624">
      <w:bodyDiv w:val="1"/>
      <w:marLeft w:val="0"/>
      <w:marRight w:val="0"/>
      <w:marTop w:val="0"/>
      <w:marBottom w:val="0"/>
      <w:divBdr>
        <w:top w:val="none" w:sz="0" w:space="0" w:color="auto"/>
        <w:left w:val="none" w:sz="0" w:space="0" w:color="auto"/>
        <w:bottom w:val="none" w:sz="0" w:space="0" w:color="auto"/>
        <w:right w:val="none" w:sz="0" w:space="0" w:color="auto"/>
      </w:divBdr>
      <w:divsChild>
        <w:div w:id="433134349">
          <w:marLeft w:val="0"/>
          <w:marRight w:val="0"/>
          <w:marTop w:val="0"/>
          <w:marBottom w:val="0"/>
          <w:divBdr>
            <w:top w:val="none" w:sz="0" w:space="0" w:color="auto"/>
            <w:left w:val="none" w:sz="0" w:space="0" w:color="auto"/>
            <w:bottom w:val="none" w:sz="0" w:space="0" w:color="auto"/>
            <w:right w:val="none" w:sz="0" w:space="0" w:color="auto"/>
          </w:divBdr>
        </w:div>
        <w:div w:id="1925063009">
          <w:marLeft w:val="0"/>
          <w:marRight w:val="0"/>
          <w:marTop w:val="0"/>
          <w:marBottom w:val="0"/>
          <w:divBdr>
            <w:top w:val="none" w:sz="0" w:space="0" w:color="auto"/>
            <w:left w:val="none" w:sz="0" w:space="0" w:color="auto"/>
            <w:bottom w:val="none" w:sz="0" w:space="0" w:color="auto"/>
            <w:right w:val="none" w:sz="0" w:space="0" w:color="auto"/>
          </w:divBdr>
        </w:div>
      </w:divsChild>
    </w:div>
    <w:div w:id="1823349262">
      <w:bodyDiv w:val="1"/>
      <w:marLeft w:val="0"/>
      <w:marRight w:val="0"/>
      <w:marTop w:val="0"/>
      <w:marBottom w:val="0"/>
      <w:divBdr>
        <w:top w:val="none" w:sz="0" w:space="0" w:color="auto"/>
        <w:left w:val="none" w:sz="0" w:space="0" w:color="auto"/>
        <w:bottom w:val="none" w:sz="0" w:space="0" w:color="auto"/>
        <w:right w:val="none" w:sz="0" w:space="0" w:color="auto"/>
      </w:divBdr>
      <w:divsChild>
        <w:div w:id="1452048059">
          <w:marLeft w:val="0"/>
          <w:marRight w:val="0"/>
          <w:marTop w:val="0"/>
          <w:marBottom w:val="0"/>
          <w:divBdr>
            <w:top w:val="none" w:sz="0" w:space="0" w:color="auto"/>
            <w:left w:val="none" w:sz="0" w:space="0" w:color="auto"/>
            <w:bottom w:val="none" w:sz="0" w:space="0" w:color="auto"/>
            <w:right w:val="none" w:sz="0" w:space="0" w:color="auto"/>
          </w:divBdr>
        </w:div>
        <w:div w:id="1519924340">
          <w:marLeft w:val="0"/>
          <w:marRight w:val="0"/>
          <w:marTop w:val="0"/>
          <w:marBottom w:val="0"/>
          <w:divBdr>
            <w:top w:val="none" w:sz="0" w:space="0" w:color="auto"/>
            <w:left w:val="none" w:sz="0" w:space="0" w:color="auto"/>
            <w:bottom w:val="none" w:sz="0" w:space="0" w:color="auto"/>
            <w:right w:val="none" w:sz="0" w:space="0" w:color="auto"/>
          </w:divBdr>
        </w:div>
      </w:divsChild>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879245446">
      <w:bodyDiv w:val="1"/>
      <w:marLeft w:val="0"/>
      <w:marRight w:val="0"/>
      <w:marTop w:val="0"/>
      <w:marBottom w:val="0"/>
      <w:divBdr>
        <w:top w:val="none" w:sz="0" w:space="0" w:color="auto"/>
        <w:left w:val="none" w:sz="0" w:space="0" w:color="auto"/>
        <w:bottom w:val="none" w:sz="0" w:space="0" w:color="auto"/>
        <w:right w:val="none" w:sz="0" w:space="0" w:color="auto"/>
      </w:divBdr>
      <w:divsChild>
        <w:div w:id="373774528">
          <w:marLeft w:val="0"/>
          <w:marRight w:val="0"/>
          <w:marTop w:val="0"/>
          <w:marBottom w:val="0"/>
          <w:divBdr>
            <w:top w:val="none" w:sz="0" w:space="0" w:color="auto"/>
            <w:left w:val="none" w:sz="0" w:space="0" w:color="auto"/>
            <w:bottom w:val="none" w:sz="0" w:space="0" w:color="auto"/>
            <w:right w:val="none" w:sz="0" w:space="0" w:color="auto"/>
          </w:divBdr>
        </w:div>
        <w:div w:id="1804149695">
          <w:marLeft w:val="0"/>
          <w:marRight w:val="0"/>
          <w:marTop w:val="0"/>
          <w:marBottom w:val="0"/>
          <w:divBdr>
            <w:top w:val="none" w:sz="0" w:space="0" w:color="auto"/>
            <w:left w:val="none" w:sz="0" w:space="0" w:color="auto"/>
            <w:bottom w:val="none" w:sz="0" w:space="0" w:color="auto"/>
            <w:right w:val="none" w:sz="0" w:space="0" w:color="auto"/>
          </w:divBdr>
        </w:div>
      </w:divsChild>
    </w:div>
    <w:div w:id="1913391985">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rpleorange.org.au/what-we-do/library-our-work/model-citizenhood-sup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rpleorange.org.au/what-we-do/library-our-work/model-citizenhood-sup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obbiw@purpleorange.org.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rpleorange.org.au/what-we-do/library-our-work/guide-co-design-people-living-disabilit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va.gov.au/documents-and-publications/governments-response-royal-commissions-final-report" TargetMode="External"/><Relationship Id="rId13" Type="http://schemas.openxmlformats.org/officeDocument/2006/relationships/hyperlink" Target="https://www.ndisreview.gov.au/sites/default/files/resource/download/working-together-ndis-review-final-report.pdf" TargetMode="External"/><Relationship Id="rId18" Type="http://schemas.openxmlformats.org/officeDocument/2006/relationships/hyperlink" Target="https://www.ndisreview.gov.au/sites/default/files/resource/download/working-together-ndis-review-final-report.pdf" TargetMode="External"/><Relationship Id="rId26" Type="http://schemas.openxmlformats.org/officeDocument/2006/relationships/hyperlink" Target="https://disability.royalcommission.gov.au/publications/final-report" TargetMode="External"/><Relationship Id="rId3" Type="http://schemas.openxmlformats.org/officeDocument/2006/relationships/hyperlink" Target="https://www.pc.gov.au/inquiries/completed/disability-support/report" TargetMode="External"/><Relationship Id="rId21" Type="http://schemas.openxmlformats.org/officeDocument/2006/relationships/hyperlink" Target="https://disability.royalcommission.gov.au/publications/final-report" TargetMode="External"/><Relationship Id="rId7" Type="http://schemas.openxmlformats.org/officeDocument/2006/relationships/hyperlink" Target="https://purpleorange.org.au/news-resources/media-releases/governments-disability-royal-commission-responses" TargetMode="External"/><Relationship Id="rId12" Type="http://schemas.openxmlformats.org/officeDocument/2006/relationships/hyperlink" Target="https://www.dss.gov.au/disability-and-carers-programs-services-for-people-with-disability-information-linkages-and-capacity-building-ilc/summary-informing-investment-design-information-linkages-and-capacity-building-ilc-research-activity" TargetMode="External"/><Relationship Id="rId17" Type="http://schemas.openxmlformats.org/officeDocument/2006/relationships/hyperlink" Target="https://www.ndisreview.gov.au/resources/paper/building-more-responsive-and-supportive-workforce" TargetMode="External"/><Relationship Id="rId25" Type="http://schemas.openxmlformats.org/officeDocument/2006/relationships/hyperlink" Target="https://vpsc.vic.gov.au/workforce-programs/disability-employment/public-sector-action-plan/" TargetMode="External"/><Relationship Id="rId2" Type="http://schemas.openxmlformats.org/officeDocument/2006/relationships/hyperlink" Target="https://www.ndisreview.gov.au/sites/default/files/resource/download/working-together-ndis-review-final-report.pdf" TargetMode="External"/><Relationship Id="rId16" Type="http://schemas.openxmlformats.org/officeDocument/2006/relationships/hyperlink" Target="https://workforcecapability.ndiscommission.gov.au/" TargetMode="External"/><Relationship Id="rId20" Type="http://schemas.openxmlformats.org/officeDocument/2006/relationships/hyperlink" Target="https://www.ndisreview.gov.au/sites/default/files/resource/download/working-together-ndis-review-final-report.pdf" TargetMode="External"/><Relationship Id="rId29" Type="http://schemas.openxmlformats.org/officeDocument/2006/relationships/hyperlink" Target="https://disability.royalcommission.gov.au/publications/final-report" TargetMode="External"/><Relationship Id="rId1" Type="http://schemas.openxmlformats.org/officeDocument/2006/relationships/hyperlink" Target="https://www.abc.net.au/listen/programs/adelaide-mornings/ndis/103126496" TargetMode="External"/><Relationship Id="rId6" Type="http://schemas.openxmlformats.org/officeDocument/2006/relationships/hyperlink" Target="https://www.ndisreview.gov.au/sites/default/files/resource/download/working-together-ndis-review-final-report.pdf" TargetMode="External"/><Relationship Id="rId11" Type="http://schemas.openxmlformats.org/officeDocument/2006/relationships/hyperlink" Target="https://www.ndisreview.gov.au/sites/default/files/resource/download/working-together-ndis-review-final-report.pdf" TargetMode="External"/><Relationship Id="rId24" Type="http://schemas.openxmlformats.org/officeDocument/2006/relationships/hyperlink" Target="https://www.jobaccess.gov.au/news-media/australian-employers-undisputed-rewards-hiring-people/" TargetMode="External"/><Relationship Id="rId32" Type="http://schemas.openxmlformats.org/officeDocument/2006/relationships/hyperlink" Target="https://www.ndisreview.gov.au/sites/default/files/resource/download/working-together-ndis-review-final-report.pdf" TargetMode="External"/><Relationship Id="rId5" Type="http://schemas.openxmlformats.org/officeDocument/2006/relationships/hyperlink" Target="https://www.purpleorange.org.au/what-we-do/library-our-work/model-citizenhood-support" TargetMode="External"/><Relationship Id="rId15" Type="http://schemas.openxmlformats.org/officeDocument/2006/relationships/hyperlink" Target="https://www.dss.gov.au/sites/default/files/documents/06_2021/ndis-national-workforce-plan-2021-2025.pdf" TargetMode="External"/><Relationship Id="rId23" Type="http://schemas.openxmlformats.org/officeDocument/2006/relationships/hyperlink" Target="https://and.org.au/join-us/why-hire-people-with-adisability/benefits" TargetMode="External"/><Relationship Id="rId28" Type="http://schemas.openxmlformats.org/officeDocument/2006/relationships/hyperlink" Target="https://www.digitalinclusionindex.org.au/" TargetMode="External"/><Relationship Id="rId10" Type="http://schemas.openxmlformats.org/officeDocument/2006/relationships/hyperlink" Target="https://www.pc.gov.au/inquiries/completed/ndis-costs/report/ndis-costs.pdf" TargetMode="External"/><Relationship Id="rId19" Type="http://schemas.openxmlformats.org/officeDocument/2006/relationships/hyperlink" Target="https://www.pc.gov.au/inquiries/completed/disability-support/report" TargetMode="External"/><Relationship Id="rId31" Type="http://schemas.openxmlformats.org/officeDocument/2006/relationships/hyperlink" Target="https://www.pc.gov.au/inquiries/completed/disability-support/report" TargetMode="External"/><Relationship Id="rId4" Type="http://schemas.openxmlformats.org/officeDocument/2006/relationships/hyperlink" Target="https://www.ndti.org.uk/resources/what-works-in-community-led-support" TargetMode="External"/><Relationship Id="rId9" Type="http://schemas.openxmlformats.org/officeDocument/2006/relationships/hyperlink" Target="https://www.ndis.gov.au/news/10522-statement-ndis-funded-music-and-art-therapy" TargetMode="External"/><Relationship Id="rId14" Type="http://schemas.openxmlformats.org/officeDocument/2006/relationships/hyperlink" Target="https://www.pc.gov.au/inquiries/completed/disability-support/report" TargetMode="External"/><Relationship Id="rId22" Type="http://schemas.openxmlformats.org/officeDocument/2006/relationships/hyperlink" Target="https://www.ndisreview.gov.au/sites/default/files/resource/download/working-together-ndis-review-final-report.pdf" TargetMode="External"/><Relationship Id="rId27" Type="http://schemas.openxmlformats.org/officeDocument/2006/relationships/hyperlink" Target="https://disability.royalcommission.gov.au/publications/final-report" TargetMode="External"/><Relationship Id="rId30" Type="http://schemas.openxmlformats.org/officeDocument/2006/relationships/hyperlink" Target="https://www.ndisreview.gov.au/sites/default/files/resource/download/working-together-ndis-review-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19" ma:contentTypeDescription="Create a new document." ma:contentTypeScope="" ma:versionID="b9f143074d2c6a67691d1ff8b91ac22f">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99698d9997e468fc9134688794619ac4"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Time xmlns="d40cd17d-395b-49a6-a449-4db40669aa08" xsi:nil="true"/>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1A459-35D0-4D51-93E2-E4BF495F4DCC}">
  <ds:schemaRefs>
    <ds:schemaRef ds:uri="http://schemas.openxmlformats.org/officeDocument/2006/bibliography"/>
  </ds:schemaRefs>
</ds:datastoreItem>
</file>

<file path=customXml/itemProps2.xml><?xml version="1.0" encoding="utf-8"?>
<ds:datastoreItem xmlns:ds="http://schemas.openxmlformats.org/officeDocument/2006/customXml" ds:itemID="{665002A4-5996-475A-80EC-61F8C6A57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35D78-528C-4DBA-91BB-107A4F62EE76}">
  <ds:schemaRefs>
    <ds:schemaRef ds:uri="http://schemas.microsoft.com/office/2006/metadata/properties"/>
    <ds:schemaRef ds:uri="http://schemas.microsoft.com/office/infopath/2007/PartnerControls"/>
    <ds:schemaRef ds:uri="d40cd17d-395b-49a6-a449-4db40669aa08"/>
    <ds:schemaRef ds:uri="c639d33e-a57d-4ba9-bdad-95bee2182b18"/>
  </ds:schemaRefs>
</ds:datastoreItem>
</file>

<file path=customXml/itemProps4.xml><?xml version="1.0" encoding="utf-8"?>
<ds:datastoreItem xmlns:ds="http://schemas.openxmlformats.org/officeDocument/2006/customXml" ds:itemID="{3CB8AF03-6305-48B4-8B05-436D01F04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19238</Words>
  <Characters>109662</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128643</CharactersWithSpaces>
  <SharedDoc>false</SharedDoc>
  <HLinks>
    <vt:vector size="414" baseType="variant">
      <vt:variant>
        <vt:i4>2818117</vt:i4>
      </vt:variant>
      <vt:variant>
        <vt:i4>276</vt:i4>
      </vt:variant>
      <vt:variant>
        <vt:i4>0</vt:i4>
      </vt:variant>
      <vt:variant>
        <vt:i4>5</vt:i4>
      </vt:variant>
      <vt:variant>
        <vt:lpwstr>mailto:robbiw@purpleorange.org.au</vt:lpwstr>
      </vt:variant>
      <vt:variant>
        <vt:lpwstr/>
      </vt:variant>
      <vt:variant>
        <vt:i4>1048670</vt:i4>
      </vt:variant>
      <vt:variant>
        <vt:i4>273</vt:i4>
      </vt:variant>
      <vt:variant>
        <vt:i4>0</vt:i4>
      </vt:variant>
      <vt:variant>
        <vt:i4>5</vt:i4>
      </vt:variant>
      <vt:variant>
        <vt:lpwstr>https://purpleorange.org.au/what-we-do/library-our-work/guide-co-design-people-living-disability</vt:lpwstr>
      </vt:variant>
      <vt:variant>
        <vt:lpwstr/>
      </vt:variant>
      <vt:variant>
        <vt:i4>5832780</vt:i4>
      </vt:variant>
      <vt:variant>
        <vt:i4>270</vt:i4>
      </vt:variant>
      <vt:variant>
        <vt:i4>0</vt:i4>
      </vt:variant>
      <vt:variant>
        <vt:i4>5</vt:i4>
      </vt:variant>
      <vt:variant>
        <vt:lpwstr>https://purpleorange.org.au/what-we-do/library-our-work/model-citizenhood-support</vt:lpwstr>
      </vt:variant>
      <vt:variant>
        <vt:lpwstr/>
      </vt:variant>
      <vt:variant>
        <vt:i4>5832780</vt:i4>
      </vt:variant>
      <vt:variant>
        <vt:i4>267</vt:i4>
      </vt:variant>
      <vt:variant>
        <vt:i4>0</vt:i4>
      </vt:variant>
      <vt:variant>
        <vt:i4>5</vt:i4>
      </vt:variant>
      <vt:variant>
        <vt:lpwstr>https://purpleorange.org.au/what-we-do/library-our-work/model-citizenhood-support</vt:lpwstr>
      </vt:variant>
      <vt:variant>
        <vt:lpwstr/>
      </vt:variant>
      <vt:variant>
        <vt:i4>1572914</vt:i4>
      </vt:variant>
      <vt:variant>
        <vt:i4>260</vt:i4>
      </vt:variant>
      <vt:variant>
        <vt:i4>0</vt:i4>
      </vt:variant>
      <vt:variant>
        <vt:i4>5</vt:i4>
      </vt:variant>
      <vt:variant>
        <vt:lpwstr/>
      </vt:variant>
      <vt:variant>
        <vt:lpwstr>_Toc184224512</vt:lpwstr>
      </vt:variant>
      <vt:variant>
        <vt:i4>1572914</vt:i4>
      </vt:variant>
      <vt:variant>
        <vt:i4>254</vt:i4>
      </vt:variant>
      <vt:variant>
        <vt:i4>0</vt:i4>
      </vt:variant>
      <vt:variant>
        <vt:i4>5</vt:i4>
      </vt:variant>
      <vt:variant>
        <vt:lpwstr/>
      </vt:variant>
      <vt:variant>
        <vt:lpwstr>_Toc184224511</vt:lpwstr>
      </vt:variant>
      <vt:variant>
        <vt:i4>1572914</vt:i4>
      </vt:variant>
      <vt:variant>
        <vt:i4>248</vt:i4>
      </vt:variant>
      <vt:variant>
        <vt:i4>0</vt:i4>
      </vt:variant>
      <vt:variant>
        <vt:i4>5</vt:i4>
      </vt:variant>
      <vt:variant>
        <vt:lpwstr/>
      </vt:variant>
      <vt:variant>
        <vt:lpwstr>_Toc184224510</vt:lpwstr>
      </vt:variant>
      <vt:variant>
        <vt:i4>1638450</vt:i4>
      </vt:variant>
      <vt:variant>
        <vt:i4>242</vt:i4>
      </vt:variant>
      <vt:variant>
        <vt:i4>0</vt:i4>
      </vt:variant>
      <vt:variant>
        <vt:i4>5</vt:i4>
      </vt:variant>
      <vt:variant>
        <vt:lpwstr/>
      </vt:variant>
      <vt:variant>
        <vt:lpwstr>_Toc184224509</vt:lpwstr>
      </vt:variant>
      <vt:variant>
        <vt:i4>1638450</vt:i4>
      </vt:variant>
      <vt:variant>
        <vt:i4>236</vt:i4>
      </vt:variant>
      <vt:variant>
        <vt:i4>0</vt:i4>
      </vt:variant>
      <vt:variant>
        <vt:i4>5</vt:i4>
      </vt:variant>
      <vt:variant>
        <vt:lpwstr/>
      </vt:variant>
      <vt:variant>
        <vt:lpwstr>_Toc184224508</vt:lpwstr>
      </vt:variant>
      <vt:variant>
        <vt:i4>1638450</vt:i4>
      </vt:variant>
      <vt:variant>
        <vt:i4>230</vt:i4>
      </vt:variant>
      <vt:variant>
        <vt:i4>0</vt:i4>
      </vt:variant>
      <vt:variant>
        <vt:i4>5</vt:i4>
      </vt:variant>
      <vt:variant>
        <vt:lpwstr/>
      </vt:variant>
      <vt:variant>
        <vt:lpwstr>_Toc184224507</vt:lpwstr>
      </vt:variant>
      <vt:variant>
        <vt:i4>1638450</vt:i4>
      </vt:variant>
      <vt:variant>
        <vt:i4>224</vt:i4>
      </vt:variant>
      <vt:variant>
        <vt:i4>0</vt:i4>
      </vt:variant>
      <vt:variant>
        <vt:i4>5</vt:i4>
      </vt:variant>
      <vt:variant>
        <vt:lpwstr/>
      </vt:variant>
      <vt:variant>
        <vt:lpwstr>_Toc184224506</vt:lpwstr>
      </vt:variant>
      <vt:variant>
        <vt:i4>1638450</vt:i4>
      </vt:variant>
      <vt:variant>
        <vt:i4>218</vt:i4>
      </vt:variant>
      <vt:variant>
        <vt:i4>0</vt:i4>
      </vt:variant>
      <vt:variant>
        <vt:i4>5</vt:i4>
      </vt:variant>
      <vt:variant>
        <vt:lpwstr/>
      </vt:variant>
      <vt:variant>
        <vt:lpwstr>_Toc184224505</vt:lpwstr>
      </vt:variant>
      <vt:variant>
        <vt:i4>1638450</vt:i4>
      </vt:variant>
      <vt:variant>
        <vt:i4>212</vt:i4>
      </vt:variant>
      <vt:variant>
        <vt:i4>0</vt:i4>
      </vt:variant>
      <vt:variant>
        <vt:i4>5</vt:i4>
      </vt:variant>
      <vt:variant>
        <vt:lpwstr/>
      </vt:variant>
      <vt:variant>
        <vt:lpwstr>_Toc184224504</vt:lpwstr>
      </vt:variant>
      <vt:variant>
        <vt:i4>1638450</vt:i4>
      </vt:variant>
      <vt:variant>
        <vt:i4>206</vt:i4>
      </vt:variant>
      <vt:variant>
        <vt:i4>0</vt:i4>
      </vt:variant>
      <vt:variant>
        <vt:i4>5</vt:i4>
      </vt:variant>
      <vt:variant>
        <vt:lpwstr/>
      </vt:variant>
      <vt:variant>
        <vt:lpwstr>_Toc184224503</vt:lpwstr>
      </vt:variant>
      <vt:variant>
        <vt:i4>1638450</vt:i4>
      </vt:variant>
      <vt:variant>
        <vt:i4>200</vt:i4>
      </vt:variant>
      <vt:variant>
        <vt:i4>0</vt:i4>
      </vt:variant>
      <vt:variant>
        <vt:i4>5</vt:i4>
      </vt:variant>
      <vt:variant>
        <vt:lpwstr/>
      </vt:variant>
      <vt:variant>
        <vt:lpwstr>_Toc184224502</vt:lpwstr>
      </vt:variant>
      <vt:variant>
        <vt:i4>1638450</vt:i4>
      </vt:variant>
      <vt:variant>
        <vt:i4>194</vt:i4>
      </vt:variant>
      <vt:variant>
        <vt:i4>0</vt:i4>
      </vt:variant>
      <vt:variant>
        <vt:i4>5</vt:i4>
      </vt:variant>
      <vt:variant>
        <vt:lpwstr/>
      </vt:variant>
      <vt:variant>
        <vt:lpwstr>_Toc184224501</vt:lpwstr>
      </vt:variant>
      <vt:variant>
        <vt:i4>1638450</vt:i4>
      </vt:variant>
      <vt:variant>
        <vt:i4>188</vt:i4>
      </vt:variant>
      <vt:variant>
        <vt:i4>0</vt:i4>
      </vt:variant>
      <vt:variant>
        <vt:i4>5</vt:i4>
      </vt:variant>
      <vt:variant>
        <vt:lpwstr/>
      </vt:variant>
      <vt:variant>
        <vt:lpwstr>_Toc184224500</vt:lpwstr>
      </vt:variant>
      <vt:variant>
        <vt:i4>1048627</vt:i4>
      </vt:variant>
      <vt:variant>
        <vt:i4>182</vt:i4>
      </vt:variant>
      <vt:variant>
        <vt:i4>0</vt:i4>
      </vt:variant>
      <vt:variant>
        <vt:i4>5</vt:i4>
      </vt:variant>
      <vt:variant>
        <vt:lpwstr/>
      </vt:variant>
      <vt:variant>
        <vt:lpwstr>_Toc184224499</vt:lpwstr>
      </vt:variant>
      <vt:variant>
        <vt:i4>1048627</vt:i4>
      </vt:variant>
      <vt:variant>
        <vt:i4>176</vt:i4>
      </vt:variant>
      <vt:variant>
        <vt:i4>0</vt:i4>
      </vt:variant>
      <vt:variant>
        <vt:i4>5</vt:i4>
      </vt:variant>
      <vt:variant>
        <vt:lpwstr/>
      </vt:variant>
      <vt:variant>
        <vt:lpwstr>_Toc184224498</vt:lpwstr>
      </vt:variant>
      <vt:variant>
        <vt:i4>1048627</vt:i4>
      </vt:variant>
      <vt:variant>
        <vt:i4>170</vt:i4>
      </vt:variant>
      <vt:variant>
        <vt:i4>0</vt:i4>
      </vt:variant>
      <vt:variant>
        <vt:i4>5</vt:i4>
      </vt:variant>
      <vt:variant>
        <vt:lpwstr/>
      </vt:variant>
      <vt:variant>
        <vt:lpwstr>_Toc184224497</vt:lpwstr>
      </vt:variant>
      <vt:variant>
        <vt:i4>1048627</vt:i4>
      </vt:variant>
      <vt:variant>
        <vt:i4>164</vt:i4>
      </vt:variant>
      <vt:variant>
        <vt:i4>0</vt:i4>
      </vt:variant>
      <vt:variant>
        <vt:i4>5</vt:i4>
      </vt:variant>
      <vt:variant>
        <vt:lpwstr/>
      </vt:variant>
      <vt:variant>
        <vt:lpwstr>_Toc184224496</vt:lpwstr>
      </vt:variant>
      <vt:variant>
        <vt:i4>1048627</vt:i4>
      </vt:variant>
      <vt:variant>
        <vt:i4>158</vt:i4>
      </vt:variant>
      <vt:variant>
        <vt:i4>0</vt:i4>
      </vt:variant>
      <vt:variant>
        <vt:i4>5</vt:i4>
      </vt:variant>
      <vt:variant>
        <vt:lpwstr/>
      </vt:variant>
      <vt:variant>
        <vt:lpwstr>_Toc184224495</vt:lpwstr>
      </vt:variant>
      <vt:variant>
        <vt:i4>1048627</vt:i4>
      </vt:variant>
      <vt:variant>
        <vt:i4>152</vt:i4>
      </vt:variant>
      <vt:variant>
        <vt:i4>0</vt:i4>
      </vt:variant>
      <vt:variant>
        <vt:i4>5</vt:i4>
      </vt:variant>
      <vt:variant>
        <vt:lpwstr/>
      </vt:variant>
      <vt:variant>
        <vt:lpwstr>_Toc184224494</vt:lpwstr>
      </vt:variant>
      <vt:variant>
        <vt:i4>1048627</vt:i4>
      </vt:variant>
      <vt:variant>
        <vt:i4>146</vt:i4>
      </vt:variant>
      <vt:variant>
        <vt:i4>0</vt:i4>
      </vt:variant>
      <vt:variant>
        <vt:i4>5</vt:i4>
      </vt:variant>
      <vt:variant>
        <vt:lpwstr/>
      </vt:variant>
      <vt:variant>
        <vt:lpwstr>_Toc184224493</vt:lpwstr>
      </vt:variant>
      <vt:variant>
        <vt:i4>1048627</vt:i4>
      </vt:variant>
      <vt:variant>
        <vt:i4>140</vt:i4>
      </vt:variant>
      <vt:variant>
        <vt:i4>0</vt:i4>
      </vt:variant>
      <vt:variant>
        <vt:i4>5</vt:i4>
      </vt:variant>
      <vt:variant>
        <vt:lpwstr/>
      </vt:variant>
      <vt:variant>
        <vt:lpwstr>_Toc184224492</vt:lpwstr>
      </vt:variant>
      <vt:variant>
        <vt:i4>1048627</vt:i4>
      </vt:variant>
      <vt:variant>
        <vt:i4>134</vt:i4>
      </vt:variant>
      <vt:variant>
        <vt:i4>0</vt:i4>
      </vt:variant>
      <vt:variant>
        <vt:i4>5</vt:i4>
      </vt:variant>
      <vt:variant>
        <vt:lpwstr/>
      </vt:variant>
      <vt:variant>
        <vt:lpwstr>_Toc184224491</vt:lpwstr>
      </vt:variant>
      <vt:variant>
        <vt:i4>1048627</vt:i4>
      </vt:variant>
      <vt:variant>
        <vt:i4>128</vt:i4>
      </vt:variant>
      <vt:variant>
        <vt:i4>0</vt:i4>
      </vt:variant>
      <vt:variant>
        <vt:i4>5</vt:i4>
      </vt:variant>
      <vt:variant>
        <vt:lpwstr/>
      </vt:variant>
      <vt:variant>
        <vt:lpwstr>_Toc184224490</vt:lpwstr>
      </vt:variant>
      <vt:variant>
        <vt:i4>1114163</vt:i4>
      </vt:variant>
      <vt:variant>
        <vt:i4>122</vt:i4>
      </vt:variant>
      <vt:variant>
        <vt:i4>0</vt:i4>
      </vt:variant>
      <vt:variant>
        <vt:i4>5</vt:i4>
      </vt:variant>
      <vt:variant>
        <vt:lpwstr/>
      </vt:variant>
      <vt:variant>
        <vt:lpwstr>_Toc184224489</vt:lpwstr>
      </vt:variant>
      <vt:variant>
        <vt:i4>1114163</vt:i4>
      </vt:variant>
      <vt:variant>
        <vt:i4>116</vt:i4>
      </vt:variant>
      <vt:variant>
        <vt:i4>0</vt:i4>
      </vt:variant>
      <vt:variant>
        <vt:i4>5</vt:i4>
      </vt:variant>
      <vt:variant>
        <vt:lpwstr/>
      </vt:variant>
      <vt:variant>
        <vt:lpwstr>_Toc184224488</vt:lpwstr>
      </vt:variant>
      <vt:variant>
        <vt:i4>1114163</vt:i4>
      </vt:variant>
      <vt:variant>
        <vt:i4>110</vt:i4>
      </vt:variant>
      <vt:variant>
        <vt:i4>0</vt:i4>
      </vt:variant>
      <vt:variant>
        <vt:i4>5</vt:i4>
      </vt:variant>
      <vt:variant>
        <vt:lpwstr/>
      </vt:variant>
      <vt:variant>
        <vt:lpwstr>_Toc184224487</vt:lpwstr>
      </vt:variant>
      <vt:variant>
        <vt:i4>1114163</vt:i4>
      </vt:variant>
      <vt:variant>
        <vt:i4>104</vt:i4>
      </vt:variant>
      <vt:variant>
        <vt:i4>0</vt:i4>
      </vt:variant>
      <vt:variant>
        <vt:i4>5</vt:i4>
      </vt:variant>
      <vt:variant>
        <vt:lpwstr/>
      </vt:variant>
      <vt:variant>
        <vt:lpwstr>_Toc184224486</vt:lpwstr>
      </vt:variant>
      <vt:variant>
        <vt:i4>1114163</vt:i4>
      </vt:variant>
      <vt:variant>
        <vt:i4>98</vt:i4>
      </vt:variant>
      <vt:variant>
        <vt:i4>0</vt:i4>
      </vt:variant>
      <vt:variant>
        <vt:i4>5</vt:i4>
      </vt:variant>
      <vt:variant>
        <vt:lpwstr/>
      </vt:variant>
      <vt:variant>
        <vt:lpwstr>_Toc184224485</vt:lpwstr>
      </vt:variant>
      <vt:variant>
        <vt:i4>1114163</vt:i4>
      </vt:variant>
      <vt:variant>
        <vt:i4>92</vt:i4>
      </vt:variant>
      <vt:variant>
        <vt:i4>0</vt:i4>
      </vt:variant>
      <vt:variant>
        <vt:i4>5</vt:i4>
      </vt:variant>
      <vt:variant>
        <vt:lpwstr/>
      </vt:variant>
      <vt:variant>
        <vt:lpwstr>_Toc184224484</vt:lpwstr>
      </vt:variant>
      <vt:variant>
        <vt:i4>1114163</vt:i4>
      </vt:variant>
      <vt:variant>
        <vt:i4>86</vt:i4>
      </vt:variant>
      <vt:variant>
        <vt:i4>0</vt:i4>
      </vt:variant>
      <vt:variant>
        <vt:i4>5</vt:i4>
      </vt:variant>
      <vt:variant>
        <vt:lpwstr/>
      </vt:variant>
      <vt:variant>
        <vt:lpwstr>_Toc184224483</vt:lpwstr>
      </vt:variant>
      <vt:variant>
        <vt:i4>1114163</vt:i4>
      </vt:variant>
      <vt:variant>
        <vt:i4>80</vt:i4>
      </vt:variant>
      <vt:variant>
        <vt:i4>0</vt:i4>
      </vt:variant>
      <vt:variant>
        <vt:i4>5</vt:i4>
      </vt:variant>
      <vt:variant>
        <vt:lpwstr/>
      </vt:variant>
      <vt:variant>
        <vt:lpwstr>_Toc184224482</vt:lpwstr>
      </vt:variant>
      <vt:variant>
        <vt:i4>1114163</vt:i4>
      </vt:variant>
      <vt:variant>
        <vt:i4>74</vt:i4>
      </vt:variant>
      <vt:variant>
        <vt:i4>0</vt:i4>
      </vt:variant>
      <vt:variant>
        <vt:i4>5</vt:i4>
      </vt:variant>
      <vt:variant>
        <vt:lpwstr/>
      </vt:variant>
      <vt:variant>
        <vt:lpwstr>_Toc184224481</vt:lpwstr>
      </vt:variant>
      <vt:variant>
        <vt:i4>1114163</vt:i4>
      </vt:variant>
      <vt:variant>
        <vt:i4>68</vt:i4>
      </vt:variant>
      <vt:variant>
        <vt:i4>0</vt:i4>
      </vt:variant>
      <vt:variant>
        <vt:i4>5</vt:i4>
      </vt:variant>
      <vt:variant>
        <vt:lpwstr/>
      </vt:variant>
      <vt:variant>
        <vt:lpwstr>_Toc184224480</vt:lpwstr>
      </vt:variant>
      <vt:variant>
        <vt:i4>1966131</vt:i4>
      </vt:variant>
      <vt:variant>
        <vt:i4>62</vt:i4>
      </vt:variant>
      <vt:variant>
        <vt:i4>0</vt:i4>
      </vt:variant>
      <vt:variant>
        <vt:i4>5</vt:i4>
      </vt:variant>
      <vt:variant>
        <vt:lpwstr/>
      </vt:variant>
      <vt:variant>
        <vt:lpwstr>_Toc184224479</vt:lpwstr>
      </vt:variant>
      <vt:variant>
        <vt:i4>1966131</vt:i4>
      </vt:variant>
      <vt:variant>
        <vt:i4>56</vt:i4>
      </vt:variant>
      <vt:variant>
        <vt:i4>0</vt:i4>
      </vt:variant>
      <vt:variant>
        <vt:i4>5</vt:i4>
      </vt:variant>
      <vt:variant>
        <vt:lpwstr/>
      </vt:variant>
      <vt:variant>
        <vt:lpwstr>_Toc184224478</vt:lpwstr>
      </vt:variant>
      <vt:variant>
        <vt:i4>1966131</vt:i4>
      </vt:variant>
      <vt:variant>
        <vt:i4>50</vt:i4>
      </vt:variant>
      <vt:variant>
        <vt:i4>0</vt:i4>
      </vt:variant>
      <vt:variant>
        <vt:i4>5</vt:i4>
      </vt:variant>
      <vt:variant>
        <vt:lpwstr/>
      </vt:variant>
      <vt:variant>
        <vt:lpwstr>_Toc184224477</vt:lpwstr>
      </vt:variant>
      <vt:variant>
        <vt:i4>1966131</vt:i4>
      </vt:variant>
      <vt:variant>
        <vt:i4>44</vt:i4>
      </vt:variant>
      <vt:variant>
        <vt:i4>0</vt:i4>
      </vt:variant>
      <vt:variant>
        <vt:i4>5</vt:i4>
      </vt:variant>
      <vt:variant>
        <vt:lpwstr/>
      </vt:variant>
      <vt:variant>
        <vt:lpwstr>_Toc184224476</vt:lpwstr>
      </vt:variant>
      <vt:variant>
        <vt:i4>1966131</vt:i4>
      </vt:variant>
      <vt:variant>
        <vt:i4>38</vt:i4>
      </vt:variant>
      <vt:variant>
        <vt:i4>0</vt:i4>
      </vt:variant>
      <vt:variant>
        <vt:i4>5</vt:i4>
      </vt:variant>
      <vt:variant>
        <vt:lpwstr/>
      </vt:variant>
      <vt:variant>
        <vt:lpwstr>_Toc184224475</vt:lpwstr>
      </vt:variant>
      <vt:variant>
        <vt:i4>1966131</vt:i4>
      </vt:variant>
      <vt:variant>
        <vt:i4>32</vt:i4>
      </vt:variant>
      <vt:variant>
        <vt:i4>0</vt:i4>
      </vt:variant>
      <vt:variant>
        <vt:i4>5</vt:i4>
      </vt:variant>
      <vt:variant>
        <vt:lpwstr/>
      </vt:variant>
      <vt:variant>
        <vt:lpwstr>_Toc184224474</vt:lpwstr>
      </vt:variant>
      <vt:variant>
        <vt:i4>1966131</vt:i4>
      </vt:variant>
      <vt:variant>
        <vt:i4>26</vt:i4>
      </vt:variant>
      <vt:variant>
        <vt:i4>0</vt:i4>
      </vt:variant>
      <vt:variant>
        <vt:i4>5</vt:i4>
      </vt:variant>
      <vt:variant>
        <vt:lpwstr/>
      </vt:variant>
      <vt:variant>
        <vt:lpwstr>_Toc184224473</vt:lpwstr>
      </vt:variant>
      <vt:variant>
        <vt:i4>1966131</vt:i4>
      </vt:variant>
      <vt:variant>
        <vt:i4>20</vt:i4>
      </vt:variant>
      <vt:variant>
        <vt:i4>0</vt:i4>
      </vt:variant>
      <vt:variant>
        <vt:i4>5</vt:i4>
      </vt:variant>
      <vt:variant>
        <vt:lpwstr/>
      </vt:variant>
      <vt:variant>
        <vt:lpwstr>_Toc184224472</vt:lpwstr>
      </vt:variant>
      <vt:variant>
        <vt:i4>1966131</vt:i4>
      </vt:variant>
      <vt:variant>
        <vt:i4>14</vt:i4>
      </vt:variant>
      <vt:variant>
        <vt:i4>0</vt:i4>
      </vt:variant>
      <vt:variant>
        <vt:i4>5</vt:i4>
      </vt:variant>
      <vt:variant>
        <vt:lpwstr/>
      </vt:variant>
      <vt:variant>
        <vt:lpwstr>_Toc184224471</vt:lpwstr>
      </vt:variant>
      <vt:variant>
        <vt:i4>1966131</vt:i4>
      </vt:variant>
      <vt:variant>
        <vt:i4>8</vt:i4>
      </vt:variant>
      <vt:variant>
        <vt:i4>0</vt:i4>
      </vt:variant>
      <vt:variant>
        <vt:i4>5</vt:i4>
      </vt:variant>
      <vt:variant>
        <vt:lpwstr/>
      </vt:variant>
      <vt:variant>
        <vt:lpwstr>_Toc184224470</vt:lpwstr>
      </vt:variant>
      <vt:variant>
        <vt:i4>2031667</vt:i4>
      </vt:variant>
      <vt:variant>
        <vt:i4>2</vt:i4>
      </vt:variant>
      <vt:variant>
        <vt:i4>0</vt:i4>
      </vt:variant>
      <vt:variant>
        <vt:i4>5</vt:i4>
      </vt:variant>
      <vt:variant>
        <vt:lpwstr/>
      </vt:variant>
      <vt:variant>
        <vt:lpwstr>_Toc184224469</vt:lpwstr>
      </vt:variant>
      <vt:variant>
        <vt:i4>8257569</vt:i4>
      </vt:variant>
      <vt:variant>
        <vt:i4>60</vt:i4>
      </vt:variant>
      <vt:variant>
        <vt:i4>0</vt:i4>
      </vt:variant>
      <vt:variant>
        <vt:i4>5</vt:i4>
      </vt:variant>
      <vt:variant>
        <vt:lpwstr>https://www.pc.gov.au/inquiries/completed/disability-support/report</vt:lpwstr>
      </vt:variant>
      <vt:variant>
        <vt:lpwstr/>
      </vt:variant>
      <vt:variant>
        <vt:i4>6094937</vt:i4>
      </vt:variant>
      <vt:variant>
        <vt:i4>57</vt:i4>
      </vt:variant>
      <vt:variant>
        <vt:i4>0</vt:i4>
      </vt:variant>
      <vt:variant>
        <vt:i4>5</vt:i4>
      </vt:variant>
      <vt:variant>
        <vt:lpwstr>https://www.digitalinclusionindex.org.au/</vt:lpwstr>
      </vt:variant>
      <vt:variant>
        <vt:lpwstr/>
      </vt:variant>
      <vt:variant>
        <vt:i4>2293817</vt:i4>
      </vt:variant>
      <vt:variant>
        <vt:i4>54</vt:i4>
      </vt:variant>
      <vt:variant>
        <vt:i4>0</vt:i4>
      </vt:variant>
      <vt:variant>
        <vt:i4>5</vt:i4>
      </vt:variant>
      <vt:variant>
        <vt:lpwstr>https://vpsc.vic.gov.au/workforce-programs/disability-employment/public-sector-action-plan/</vt:lpwstr>
      </vt:variant>
      <vt:variant>
        <vt:lpwstr/>
      </vt:variant>
      <vt:variant>
        <vt:i4>7929905</vt:i4>
      </vt:variant>
      <vt:variant>
        <vt:i4>51</vt:i4>
      </vt:variant>
      <vt:variant>
        <vt:i4>0</vt:i4>
      </vt:variant>
      <vt:variant>
        <vt:i4>5</vt:i4>
      </vt:variant>
      <vt:variant>
        <vt:lpwstr>https://www.jobaccess.gov.au/news-media/australian-employers-undisputed-rewards-hiring-people/</vt:lpwstr>
      </vt:variant>
      <vt:variant>
        <vt:lpwstr/>
      </vt:variant>
      <vt:variant>
        <vt:i4>1704000</vt:i4>
      </vt:variant>
      <vt:variant>
        <vt:i4>48</vt:i4>
      </vt:variant>
      <vt:variant>
        <vt:i4>0</vt:i4>
      </vt:variant>
      <vt:variant>
        <vt:i4>5</vt:i4>
      </vt:variant>
      <vt:variant>
        <vt:lpwstr>https://and.org.au/join-us/why-hire-people-with-adisability/benefits</vt:lpwstr>
      </vt:variant>
      <vt:variant>
        <vt:lpwstr/>
      </vt:variant>
      <vt:variant>
        <vt:i4>8257569</vt:i4>
      </vt:variant>
      <vt:variant>
        <vt:i4>45</vt:i4>
      </vt:variant>
      <vt:variant>
        <vt:i4>0</vt:i4>
      </vt:variant>
      <vt:variant>
        <vt:i4>5</vt:i4>
      </vt:variant>
      <vt:variant>
        <vt:lpwstr>https://www.pc.gov.au/inquiries/completed/disability-support/report</vt:lpwstr>
      </vt:variant>
      <vt:variant>
        <vt:lpwstr/>
      </vt:variant>
      <vt:variant>
        <vt:i4>8257635</vt:i4>
      </vt:variant>
      <vt:variant>
        <vt:i4>42</vt:i4>
      </vt:variant>
      <vt:variant>
        <vt:i4>0</vt:i4>
      </vt:variant>
      <vt:variant>
        <vt:i4>5</vt:i4>
      </vt:variant>
      <vt:variant>
        <vt:lpwstr>https://www.ndisreview.gov.au/resources/paper/building-more-responsive-and-supportive-workforce</vt:lpwstr>
      </vt:variant>
      <vt:variant>
        <vt:lpwstr/>
      </vt:variant>
      <vt:variant>
        <vt:i4>6291499</vt:i4>
      </vt:variant>
      <vt:variant>
        <vt:i4>39</vt:i4>
      </vt:variant>
      <vt:variant>
        <vt:i4>0</vt:i4>
      </vt:variant>
      <vt:variant>
        <vt:i4>5</vt:i4>
      </vt:variant>
      <vt:variant>
        <vt:lpwstr>https://workforcecapability.ndiscommission.gov.au/</vt:lpwstr>
      </vt:variant>
      <vt:variant>
        <vt:lpwstr/>
      </vt:variant>
      <vt:variant>
        <vt:i4>1376291</vt:i4>
      </vt:variant>
      <vt:variant>
        <vt:i4>36</vt:i4>
      </vt:variant>
      <vt:variant>
        <vt:i4>0</vt:i4>
      </vt:variant>
      <vt:variant>
        <vt:i4>5</vt:i4>
      </vt:variant>
      <vt:variant>
        <vt:lpwstr>https://www.dss.gov.au/sites/default/files/documents/06_2021/ndis-national-workforce-plan-2021-2025.pdf</vt:lpwstr>
      </vt:variant>
      <vt:variant>
        <vt:lpwstr/>
      </vt:variant>
      <vt:variant>
        <vt:i4>8257569</vt:i4>
      </vt:variant>
      <vt:variant>
        <vt:i4>33</vt:i4>
      </vt:variant>
      <vt:variant>
        <vt:i4>0</vt:i4>
      </vt:variant>
      <vt:variant>
        <vt:i4>5</vt:i4>
      </vt:variant>
      <vt:variant>
        <vt:lpwstr>https://www.pc.gov.au/inquiries/completed/disability-support/report</vt:lpwstr>
      </vt:variant>
      <vt:variant>
        <vt:lpwstr/>
      </vt:variant>
      <vt:variant>
        <vt:i4>5963807</vt:i4>
      </vt:variant>
      <vt:variant>
        <vt:i4>30</vt:i4>
      </vt:variant>
      <vt:variant>
        <vt:i4>0</vt:i4>
      </vt:variant>
      <vt:variant>
        <vt:i4>5</vt:i4>
      </vt:variant>
      <vt:variant>
        <vt:lpwstr>https://www.dss.gov.au/disability-and-carers-programs-services-for-people-with-disability-information-linkages-and-capacity-building-ilc/summary-informing-investment-design-information-linkages-and-capacity-building-ilc-research-activity</vt:lpwstr>
      </vt:variant>
      <vt:variant>
        <vt:lpwstr/>
      </vt:variant>
      <vt:variant>
        <vt:i4>3014696</vt:i4>
      </vt:variant>
      <vt:variant>
        <vt:i4>27</vt:i4>
      </vt:variant>
      <vt:variant>
        <vt:i4>0</vt:i4>
      </vt:variant>
      <vt:variant>
        <vt:i4>5</vt:i4>
      </vt:variant>
      <vt:variant>
        <vt:lpwstr>https://www.pc.gov.au/inquiries/completed/ndis-costs/report/ndis-costs.pdf</vt:lpwstr>
      </vt:variant>
      <vt:variant>
        <vt:lpwstr/>
      </vt:variant>
      <vt:variant>
        <vt:i4>8192122</vt:i4>
      </vt:variant>
      <vt:variant>
        <vt:i4>24</vt:i4>
      </vt:variant>
      <vt:variant>
        <vt:i4>0</vt:i4>
      </vt:variant>
      <vt:variant>
        <vt:i4>5</vt:i4>
      </vt:variant>
      <vt:variant>
        <vt:lpwstr>https://www.ndis.gov.au/news/10522-statement-ndis-funded-music-and-art-therapy</vt:lpwstr>
      </vt:variant>
      <vt:variant>
        <vt:lpwstr/>
      </vt:variant>
      <vt:variant>
        <vt:i4>5832729</vt:i4>
      </vt:variant>
      <vt:variant>
        <vt:i4>21</vt:i4>
      </vt:variant>
      <vt:variant>
        <vt:i4>0</vt:i4>
      </vt:variant>
      <vt:variant>
        <vt:i4>5</vt:i4>
      </vt:variant>
      <vt:variant>
        <vt:lpwstr>https://www.dva.gov.au/documents-and-publications/governments-response-royal-commissions-final-report</vt:lpwstr>
      </vt:variant>
      <vt:variant>
        <vt:lpwstr/>
      </vt:variant>
      <vt:variant>
        <vt:i4>6750332</vt:i4>
      </vt:variant>
      <vt:variant>
        <vt:i4>18</vt:i4>
      </vt:variant>
      <vt:variant>
        <vt:i4>0</vt:i4>
      </vt:variant>
      <vt:variant>
        <vt:i4>5</vt:i4>
      </vt:variant>
      <vt:variant>
        <vt:lpwstr>https://purpleorange.org.au/news-resources/media-releases/governments-disability-royal-commission-responses</vt:lpwstr>
      </vt:variant>
      <vt:variant>
        <vt:lpwstr/>
      </vt:variant>
      <vt:variant>
        <vt:i4>4718676</vt:i4>
      </vt:variant>
      <vt:variant>
        <vt:i4>15</vt:i4>
      </vt:variant>
      <vt:variant>
        <vt:i4>0</vt:i4>
      </vt:variant>
      <vt:variant>
        <vt:i4>5</vt:i4>
      </vt:variant>
      <vt:variant>
        <vt:lpwstr>https://www.ndisreview.gov.au/sites/default/files/resource/download/working-together-ndis-review-final-report.pdf</vt:lpwstr>
      </vt:variant>
      <vt:variant>
        <vt:lpwstr/>
      </vt:variant>
      <vt:variant>
        <vt:i4>76</vt:i4>
      </vt:variant>
      <vt:variant>
        <vt:i4>12</vt:i4>
      </vt:variant>
      <vt:variant>
        <vt:i4>0</vt:i4>
      </vt:variant>
      <vt:variant>
        <vt:i4>5</vt:i4>
      </vt:variant>
      <vt:variant>
        <vt:lpwstr>https://www.purpleorange.org.au/what-we-do/library-our-work/model-citizenhood-support</vt:lpwstr>
      </vt:variant>
      <vt:variant>
        <vt:lpwstr/>
      </vt:variant>
      <vt:variant>
        <vt:i4>65620</vt:i4>
      </vt:variant>
      <vt:variant>
        <vt:i4>9</vt:i4>
      </vt:variant>
      <vt:variant>
        <vt:i4>0</vt:i4>
      </vt:variant>
      <vt:variant>
        <vt:i4>5</vt:i4>
      </vt:variant>
      <vt:variant>
        <vt:lpwstr>https://www.ndti.org.uk/resources/what-works-in-community-led-support</vt:lpwstr>
      </vt:variant>
      <vt:variant>
        <vt:lpwstr/>
      </vt:variant>
      <vt:variant>
        <vt:i4>8257569</vt:i4>
      </vt:variant>
      <vt:variant>
        <vt:i4>6</vt:i4>
      </vt:variant>
      <vt:variant>
        <vt:i4>0</vt:i4>
      </vt:variant>
      <vt:variant>
        <vt:i4>5</vt:i4>
      </vt:variant>
      <vt:variant>
        <vt:lpwstr>https://www.pc.gov.au/inquiries/completed/disability-support/report</vt:lpwstr>
      </vt:variant>
      <vt:variant>
        <vt:lpwstr/>
      </vt:variant>
      <vt:variant>
        <vt:i4>4718676</vt:i4>
      </vt:variant>
      <vt:variant>
        <vt:i4>3</vt:i4>
      </vt:variant>
      <vt:variant>
        <vt:i4>0</vt:i4>
      </vt:variant>
      <vt:variant>
        <vt:i4>5</vt:i4>
      </vt:variant>
      <vt:variant>
        <vt:lpwstr>https://www.ndisreview.gov.au/sites/default/files/resource/download/working-together-ndis-review-final-report.pdf</vt:lpwstr>
      </vt:variant>
      <vt:variant>
        <vt:lpwstr/>
      </vt:variant>
      <vt:variant>
        <vt:i4>8257635</vt:i4>
      </vt:variant>
      <vt:variant>
        <vt:i4>0</vt:i4>
      </vt:variant>
      <vt:variant>
        <vt:i4>0</vt:i4>
      </vt:variant>
      <vt:variant>
        <vt:i4>5</vt:i4>
      </vt:variant>
      <vt:variant>
        <vt:lpwstr>https://www.abc.net.au/listen/programs/adelaide-mornings/ndis/103126496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Loebel</dc:creator>
  <cp:keywords/>
  <cp:lastModifiedBy>Nick Roach</cp:lastModifiedBy>
  <cp:revision>2</cp:revision>
  <cp:lastPrinted>2024-12-06T11:36:00Z</cp:lastPrinted>
  <dcterms:created xsi:type="dcterms:W3CDTF">2025-10-13T02:11:00Z</dcterms:created>
  <dcterms:modified xsi:type="dcterms:W3CDTF">2025-10-13T02:11:00Z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MediaServiceImageTags">
    <vt:lpwstr/>
  </property>
</Properties>
</file>