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78B2" w14:textId="2AC0C5C5" w:rsidR="00916D7C" w:rsidRDefault="00916D7C" w:rsidP="1D2C6D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bCs/>
          <w:color w:val="522E91"/>
        </w:rPr>
      </w:pPr>
    </w:p>
    <w:p w14:paraId="3ABD46B9" w14:textId="0A4EFC7B"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338A2EC"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5A2E9FAD" w14:textId="2A15D0F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21FE5B37"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3F83E1D"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0D01B6B7" w14:textId="49B08557" w:rsidR="00447E60" w:rsidRPr="008B120B" w:rsidRDefault="003E0A5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r w:rsidRPr="008B120B">
        <w:rPr>
          <w:rStyle w:val="BookTitle"/>
          <w:noProof/>
          <w:lang w:eastAsia="en-AU"/>
        </w:rPr>
        <w:drawing>
          <wp:inline distT="0" distB="0" distL="0" distR="0" wp14:anchorId="614F5348" wp14:editId="3B3AE525">
            <wp:extent cx="2219325" cy="1925763"/>
            <wp:effectExtent l="0" t="0" r="0" b="0"/>
            <wp:docPr id="1" name="Picture 1" descr="J:\COMMUNICATIONS\01 Logo and Letterhead\Purple Orange Logo 2018\RGB (Best for Screens)\Purple-Orange-Logo-RG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01 Logo and Letterhead\Purple Orange Logo 2018\RGB (Best for Screens)\Purple-Orange-Logo-RGB.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491" cy="1931981"/>
                    </a:xfrm>
                    <a:prstGeom prst="rect">
                      <a:avLst/>
                    </a:prstGeom>
                    <a:noFill/>
                    <a:ln>
                      <a:noFill/>
                    </a:ln>
                  </pic:spPr>
                </pic:pic>
              </a:graphicData>
            </a:graphic>
          </wp:inline>
        </w:drawing>
      </w:r>
    </w:p>
    <w:p w14:paraId="15CB4DEB" w14:textId="77777777" w:rsidR="00B74B65" w:rsidRPr="008B120B" w:rsidRDefault="00B74B65" w:rsidP="00B74B65">
      <w:pPr>
        <w:jc w:val="center"/>
        <w:rPr>
          <w:b/>
          <w:sz w:val="46"/>
          <w:lang w:eastAsia="ja-JP"/>
        </w:rPr>
      </w:pPr>
    </w:p>
    <w:p w14:paraId="42872DF3" w14:textId="0B8FF4D8" w:rsidR="00031484" w:rsidRPr="008B120B" w:rsidRDefault="00B74B65" w:rsidP="00B74B65">
      <w:pPr>
        <w:jc w:val="center"/>
        <w:rPr>
          <w:rStyle w:val="BookTitle"/>
        </w:rPr>
      </w:pPr>
      <w:r w:rsidRPr="008B120B">
        <w:rPr>
          <w:rStyle w:val="BookTitle"/>
        </w:rPr>
        <w:t xml:space="preserve">Submission to </w:t>
      </w:r>
      <w:r w:rsidR="00524831">
        <w:rPr>
          <w:rStyle w:val="BookTitle"/>
        </w:rPr>
        <w:t>the State Planning Commission</w:t>
      </w:r>
      <w:r w:rsidRPr="008B120B">
        <w:rPr>
          <w:rStyle w:val="BookTitle"/>
        </w:rPr>
        <w:t xml:space="preserve"> about </w:t>
      </w:r>
      <w:r w:rsidR="00524831">
        <w:rPr>
          <w:rStyle w:val="BookTitle"/>
        </w:rPr>
        <w:t>the Greater Adelaide Regional Plan</w:t>
      </w:r>
    </w:p>
    <w:p w14:paraId="56FA9493" w14:textId="77777777" w:rsidR="00B74B65" w:rsidRPr="008B120B" w:rsidRDefault="00B74B65" w:rsidP="00D003C5">
      <w:pPr>
        <w:rPr>
          <w:lang w:eastAsia="ja-JP"/>
        </w:rPr>
      </w:pPr>
    </w:p>
    <w:p w14:paraId="6622A850" w14:textId="7516A0BE" w:rsidR="000F5A0E" w:rsidRPr="00916D7C" w:rsidRDefault="00524831" w:rsidP="000F5A0E">
      <w:pPr>
        <w:jc w:val="center"/>
        <w:rPr>
          <w:b/>
          <w:bCs/>
          <w:sz w:val="32"/>
          <w:szCs w:val="32"/>
          <w:lang w:eastAsia="ja-JP"/>
        </w:rPr>
      </w:pPr>
      <w:r>
        <w:rPr>
          <w:b/>
          <w:bCs/>
          <w:sz w:val="32"/>
          <w:szCs w:val="32"/>
          <w:lang w:eastAsia="ja-JP"/>
        </w:rPr>
        <w:t>6 November 2023</w:t>
      </w:r>
    </w:p>
    <w:p w14:paraId="5A9FE7E4" w14:textId="77777777" w:rsidR="00031484" w:rsidRPr="008B120B" w:rsidRDefault="00031484" w:rsidP="00D003C5">
      <w:pPr>
        <w:rPr>
          <w:lang w:eastAsia="ja-JP"/>
        </w:rPr>
      </w:pPr>
    </w:p>
    <w:p w14:paraId="0745BE21" w14:textId="35739A67" w:rsidR="00B74B65" w:rsidRPr="008B120B" w:rsidRDefault="00B74B65" w:rsidP="00B74B6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FF0000"/>
          <w:szCs w:val="24"/>
        </w:rPr>
      </w:pPr>
    </w:p>
    <w:p w14:paraId="199BA672" w14:textId="77777777" w:rsidR="00B74B65" w:rsidRPr="008B120B" w:rsidRDefault="00B74B65">
      <w:pPr>
        <w:spacing w:after="200" w:line="276" w:lineRule="auto"/>
        <w:rPr>
          <w:lang w:eastAsia="ja-JP"/>
        </w:rPr>
      </w:pPr>
      <w:r w:rsidRPr="008B120B">
        <w:rPr>
          <w:lang w:eastAsia="ja-JP"/>
        </w:rPr>
        <w:br w:type="page"/>
      </w:r>
    </w:p>
    <w:p w14:paraId="430051A2" w14:textId="77777777" w:rsidR="005C1237" w:rsidRPr="008B120B" w:rsidRDefault="005C1237" w:rsidP="00916D7C">
      <w:pPr>
        <w:spacing w:after="160"/>
        <w:rPr>
          <w:rStyle w:val="Emphasis"/>
        </w:rPr>
      </w:pPr>
      <w:r w:rsidRPr="008B120B">
        <w:rPr>
          <w:rStyle w:val="Emphasis"/>
        </w:rPr>
        <w:lastRenderedPageBreak/>
        <w:t>About the Submitter</w:t>
      </w:r>
    </w:p>
    <w:p w14:paraId="7E488F56" w14:textId="145E5452" w:rsidR="000C0516" w:rsidRPr="008B120B" w:rsidRDefault="000C0516" w:rsidP="00916D7C">
      <w:pPr>
        <w:spacing w:after="160"/>
        <w:rPr>
          <w:sz w:val="22"/>
          <w:szCs w:val="22"/>
          <w:lang w:eastAsia="en-AU"/>
        </w:rPr>
      </w:pPr>
      <w:r w:rsidRPr="008B120B">
        <w:rPr>
          <w:lang w:eastAsia="en-AU"/>
        </w:rPr>
        <w:t>JFA Purple O</w:t>
      </w:r>
      <w:r w:rsidR="00A14082" w:rsidRPr="008B120B">
        <w:rPr>
          <w:lang w:eastAsia="en-AU"/>
        </w:rPr>
        <w:t>range is an independent social-</w:t>
      </w:r>
      <w:r w:rsidRPr="008B120B">
        <w:rPr>
          <w:lang w:eastAsia="en-AU"/>
        </w:rPr>
        <w:t>profit organisation that undertakes systemic policy analysis and advocacy across a range of issues affecting people living with disability and their families.</w:t>
      </w:r>
    </w:p>
    <w:p w14:paraId="36F60BD0" w14:textId="6F585265" w:rsidR="000C0516" w:rsidRPr="008B120B" w:rsidRDefault="000C0516" w:rsidP="00916D7C">
      <w:pPr>
        <w:spacing w:after="160"/>
        <w:rPr>
          <w:lang w:eastAsia="en-AU"/>
        </w:rPr>
      </w:pPr>
      <w:r w:rsidRPr="008B120B">
        <w:rPr>
          <w:lang w:eastAsia="en-AU"/>
        </w:rPr>
        <w:t xml:space="preserve">Our work is characterised by co-design and </w:t>
      </w:r>
      <w:r w:rsidR="004C1409" w:rsidRPr="008B120B">
        <w:rPr>
          <w:lang w:eastAsia="en-AU"/>
        </w:rPr>
        <w:t>co-production and</w:t>
      </w:r>
      <w:r w:rsidRPr="008B120B">
        <w:rPr>
          <w:lang w:eastAsia="en-AU"/>
        </w:rPr>
        <w:t xml:space="preserve"> includes hosting </w:t>
      </w:r>
      <w:proofErr w:type="gramStart"/>
      <w:r w:rsidRPr="008B120B">
        <w:rPr>
          <w:lang w:eastAsia="en-AU"/>
        </w:rPr>
        <w:t>a number of</w:t>
      </w:r>
      <w:proofErr w:type="gramEnd"/>
      <w:r w:rsidRPr="008B120B">
        <w:rPr>
          <w:lang w:eastAsia="en-AU"/>
        </w:rPr>
        <w:t xml:space="preserve"> user-led initiatives.</w:t>
      </w:r>
    </w:p>
    <w:p w14:paraId="05CF4D77" w14:textId="2DCB7C4C" w:rsidR="000C0516" w:rsidRPr="008B120B" w:rsidRDefault="000C0516" w:rsidP="00916D7C">
      <w:pPr>
        <w:spacing w:after="160"/>
        <w:rPr>
          <w:lang w:eastAsia="en-AU"/>
        </w:rPr>
      </w:pPr>
      <w:r w:rsidRPr="008B120B">
        <w:rPr>
          <w:lang w:eastAsia="en-AU"/>
        </w:rPr>
        <w:t>Much of our work involves connecting people living with disability to good information and to each other. We also work extensively in multi-stakeholder consultation and collaboration, especially a</w:t>
      </w:r>
      <w:r w:rsidR="004C1409">
        <w:rPr>
          <w:lang w:eastAsia="en-AU"/>
        </w:rPr>
        <w:t>bout</w:t>
      </w:r>
      <w:r w:rsidRPr="008B120B">
        <w:rPr>
          <w:lang w:eastAsia="en-AU"/>
        </w:rPr>
        <w:t xml:space="preserve"> policy and practice that helps ensure people living with disability are welcomed as valued members of the mainstream community.</w:t>
      </w:r>
    </w:p>
    <w:p w14:paraId="0A094594" w14:textId="77777777" w:rsidR="000C0516" w:rsidRPr="008B120B" w:rsidRDefault="000C0516" w:rsidP="00916D7C">
      <w:pPr>
        <w:spacing w:after="160"/>
        <w:rPr>
          <w:lang w:eastAsia="en-AU"/>
        </w:rPr>
      </w:pPr>
      <w:r w:rsidRPr="008B120B">
        <w:rPr>
          <w:lang w:eastAsia="en-AU"/>
        </w:rPr>
        <w:t xml:space="preserve">Our work is informed by a model called </w:t>
      </w:r>
      <w:r w:rsidRPr="008B120B">
        <w:rPr>
          <w:i/>
          <w:iCs/>
          <w:lang w:eastAsia="en-AU"/>
        </w:rPr>
        <w:t>Citizenhood</w:t>
      </w:r>
      <w:r w:rsidRPr="008B120B">
        <w:rPr>
          <w:lang w:eastAsia="en-AU"/>
        </w:rPr>
        <w:t>.</w:t>
      </w:r>
    </w:p>
    <w:p w14:paraId="59A1F7B6" w14:textId="77777777" w:rsidR="00031484" w:rsidRPr="008B120B" w:rsidRDefault="00031484" w:rsidP="00916D7C">
      <w:pPr>
        <w:rPr>
          <w:lang w:eastAsia="ja-JP"/>
        </w:rPr>
      </w:pPr>
      <w:r w:rsidRPr="008B120B">
        <w:rPr>
          <w:lang w:eastAsia="ja-JP"/>
        </w:rPr>
        <w:t>JFA Purple Orange</w:t>
      </w:r>
    </w:p>
    <w:p w14:paraId="35A8D94F" w14:textId="77777777" w:rsidR="00031484" w:rsidRPr="008B120B" w:rsidRDefault="00031484" w:rsidP="00916D7C">
      <w:pPr>
        <w:rPr>
          <w:lang w:eastAsia="ja-JP"/>
        </w:rPr>
      </w:pPr>
      <w:r w:rsidRPr="008B120B">
        <w:rPr>
          <w:lang w:eastAsia="ja-JP"/>
        </w:rPr>
        <w:t>104 Greenhill Road</w:t>
      </w:r>
    </w:p>
    <w:p w14:paraId="29A57D86" w14:textId="77777777" w:rsidR="00031484" w:rsidRPr="008B120B" w:rsidRDefault="00031484" w:rsidP="00916D7C">
      <w:pPr>
        <w:spacing w:after="160"/>
        <w:rPr>
          <w:lang w:eastAsia="ja-JP"/>
        </w:rPr>
      </w:pPr>
      <w:r w:rsidRPr="008B120B">
        <w:rPr>
          <w:lang w:eastAsia="ja-JP"/>
        </w:rPr>
        <w:t>Unley SA 5061 AUSTRALIA</w:t>
      </w:r>
    </w:p>
    <w:p w14:paraId="78E905EC" w14:textId="77777777" w:rsidR="00031484" w:rsidRPr="008B120B" w:rsidRDefault="00031484" w:rsidP="00916D7C">
      <w:pPr>
        <w:rPr>
          <w:lang w:eastAsia="ja-JP"/>
        </w:rPr>
      </w:pPr>
      <w:r w:rsidRPr="008B120B">
        <w:rPr>
          <w:lang w:eastAsia="ja-JP"/>
        </w:rPr>
        <w:t>Telephone: + 61 (8) 8373 8333</w:t>
      </w:r>
    </w:p>
    <w:p w14:paraId="1E95219A" w14:textId="77777777" w:rsidR="00031484" w:rsidRPr="008B120B" w:rsidRDefault="00031484" w:rsidP="00916D7C">
      <w:pPr>
        <w:rPr>
          <w:lang w:eastAsia="ja-JP"/>
        </w:rPr>
      </w:pPr>
      <w:r w:rsidRPr="008B120B">
        <w:rPr>
          <w:lang w:eastAsia="ja-JP"/>
        </w:rPr>
        <w:t>Fax: + 61 (8) 8373 8373</w:t>
      </w:r>
    </w:p>
    <w:p w14:paraId="5A36D5F4" w14:textId="77777777" w:rsidR="00031484" w:rsidRPr="008B120B" w:rsidRDefault="00031484" w:rsidP="00916D7C">
      <w:pPr>
        <w:rPr>
          <w:lang w:eastAsia="ja-JP"/>
        </w:rPr>
      </w:pPr>
      <w:r w:rsidRPr="008B120B">
        <w:rPr>
          <w:lang w:eastAsia="ja-JP"/>
        </w:rPr>
        <w:t xml:space="preserve">Email: admin@purpleorange.org.au </w:t>
      </w:r>
    </w:p>
    <w:p w14:paraId="04BAD6A6" w14:textId="77777777" w:rsidR="00031484" w:rsidRPr="008B120B" w:rsidRDefault="00031484" w:rsidP="00916D7C">
      <w:pPr>
        <w:rPr>
          <w:lang w:eastAsia="ja-JP"/>
        </w:rPr>
      </w:pPr>
      <w:r w:rsidRPr="008B120B">
        <w:rPr>
          <w:lang w:eastAsia="ja-JP"/>
        </w:rPr>
        <w:t>Website: www.purpleorange.org.au</w:t>
      </w:r>
    </w:p>
    <w:p w14:paraId="0EC94C17" w14:textId="51C95292" w:rsidR="00031484" w:rsidRPr="008B120B" w:rsidRDefault="00031484" w:rsidP="00916D7C">
      <w:pPr>
        <w:spacing w:after="160"/>
        <w:rPr>
          <w:lang w:eastAsia="ja-JP"/>
        </w:rPr>
      </w:pPr>
      <w:r w:rsidRPr="008B120B">
        <w:rPr>
          <w:lang w:eastAsia="ja-JP"/>
        </w:rPr>
        <w:t xml:space="preserve">Facebook: www.facebook.com/jfapurpleorange </w:t>
      </w:r>
    </w:p>
    <w:p w14:paraId="5B78C128" w14:textId="77777777" w:rsidR="00031484" w:rsidRPr="008B120B" w:rsidRDefault="00031484" w:rsidP="00916D7C">
      <w:pPr>
        <w:spacing w:after="160"/>
        <w:rPr>
          <w:rStyle w:val="Emphasis"/>
        </w:rPr>
      </w:pPr>
      <w:r w:rsidRPr="008B120B">
        <w:rPr>
          <w:rStyle w:val="Emphasis"/>
        </w:rPr>
        <w:t>Contributors</w:t>
      </w:r>
    </w:p>
    <w:p w14:paraId="35304519" w14:textId="42EE6940" w:rsidR="00501815" w:rsidRDefault="00916D7C" w:rsidP="00916D7C">
      <w:pPr>
        <w:spacing w:after="160"/>
        <w:rPr>
          <w:color w:val="000000" w:themeColor="text1"/>
          <w:lang w:eastAsia="ja-JP"/>
        </w:rPr>
      </w:pPr>
      <w:r>
        <w:rPr>
          <w:color w:val="000000" w:themeColor="text1"/>
          <w:lang w:eastAsia="ja-JP"/>
        </w:rPr>
        <w:t>Cathy Cochrane, Policy and Research Leader</w:t>
      </w:r>
    </w:p>
    <w:p w14:paraId="152C7FAD" w14:textId="0AAA0EAC" w:rsidR="00CD0E95" w:rsidRDefault="00CD0E95" w:rsidP="00916D7C">
      <w:pPr>
        <w:spacing w:after="160"/>
        <w:rPr>
          <w:color w:val="000000" w:themeColor="text1"/>
          <w:lang w:eastAsia="ja-JP"/>
        </w:rPr>
      </w:pPr>
      <w:r>
        <w:rPr>
          <w:color w:val="000000" w:themeColor="text1"/>
          <w:lang w:eastAsia="ja-JP"/>
        </w:rPr>
        <w:t xml:space="preserve">James Murphy, </w:t>
      </w:r>
      <w:r w:rsidR="00E634D2" w:rsidRPr="00E634D2">
        <w:rPr>
          <w:color w:val="000000" w:themeColor="text1"/>
          <w:lang w:eastAsia="ja-JP"/>
        </w:rPr>
        <w:t>Policy and Research Officer</w:t>
      </w:r>
    </w:p>
    <w:p w14:paraId="667D4C4B" w14:textId="3851AFA4" w:rsidR="000D5EC1" w:rsidRDefault="000D5EC1" w:rsidP="00916D7C">
      <w:pPr>
        <w:spacing w:after="160"/>
        <w:rPr>
          <w:color w:val="000000" w:themeColor="text1"/>
          <w:lang w:eastAsia="ja-JP"/>
        </w:rPr>
      </w:pPr>
      <w:r>
        <w:rPr>
          <w:color w:val="000000" w:themeColor="text1"/>
          <w:lang w:eastAsia="ja-JP"/>
        </w:rPr>
        <w:t>Selena Maddeford, Manager – Policy and Projects</w:t>
      </w:r>
    </w:p>
    <w:p w14:paraId="606FFD97" w14:textId="05C322AC" w:rsidR="00916D7C" w:rsidRPr="00916D7C" w:rsidRDefault="00916D7C" w:rsidP="00916D7C">
      <w:pPr>
        <w:spacing w:after="160"/>
        <w:rPr>
          <w:color w:val="000000" w:themeColor="text1"/>
          <w:lang w:eastAsia="ja-JP"/>
        </w:rPr>
      </w:pPr>
      <w:r>
        <w:rPr>
          <w:color w:val="000000" w:themeColor="text1"/>
          <w:lang w:eastAsia="ja-JP"/>
        </w:rPr>
        <w:t>Robbi Williams, CEO</w:t>
      </w:r>
    </w:p>
    <w:p w14:paraId="029BBA94" w14:textId="77777777" w:rsidR="005C1237" w:rsidRPr="008B120B" w:rsidRDefault="005C1237" w:rsidP="00916D7C">
      <w:pPr>
        <w:spacing w:after="160"/>
        <w:rPr>
          <w:lang w:eastAsia="ja-JP"/>
        </w:rPr>
      </w:pPr>
    </w:p>
    <w:p w14:paraId="6CCAB9B3" w14:textId="03E1829B" w:rsidR="005C1237" w:rsidRPr="008B120B" w:rsidRDefault="00C93446" w:rsidP="00916D7C">
      <w:pPr>
        <w:spacing w:after="160"/>
        <w:rPr>
          <w:rFonts w:ascii="Calibri" w:eastAsia="ヒラギノ角ゴ Pro W3" w:hAnsi="Calibri" w:cs="Calibri"/>
          <w:b/>
          <w:color w:val="522E91"/>
          <w:sz w:val="28"/>
          <w:szCs w:val="28"/>
          <w:lang w:eastAsia="en-AU"/>
        </w:rPr>
      </w:pPr>
      <w:r w:rsidRPr="008B120B">
        <w:rPr>
          <w:lang w:eastAsia="ja-JP"/>
        </w:rPr>
        <w:t>©</w:t>
      </w:r>
      <w:r w:rsidR="00031484" w:rsidRPr="008B120B">
        <w:rPr>
          <w:lang w:eastAsia="ja-JP"/>
        </w:rPr>
        <w:t xml:space="preserve"> </w:t>
      </w:r>
      <w:r w:rsidR="00524831">
        <w:rPr>
          <w:lang w:eastAsia="ja-JP"/>
        </w:rPr>
        <w:t>2023</w:t>
      </w:r>
      <w:r w:rsidR="00031484" w:rsidRPr="008B120B">
        <w:rPr>
          <w:lang w:eastAsia="ja-JP"/>
        </w:rPr>
        <w:t xml:space="preserve"> Julia Farr Association Inc.</w:t>
      </w:r>
      <w:r w:rsidR="005C1237" w:rsidRPr="008B120B">
        <w:rPr>
          <w:rFonts w:ascii="Calibri" w:hAnsi="Calibri" w:cs="Calibri"/>
          <w:b/>
          <w:color w:val="522E91"/>
          <w:sz w:val="28"/>
          <w:szCs w:val="28"/>
        </w:rPr>
        <w:br w:type="page"/>
      </w:r>
    </w:p>
    <w:bookmarkStart w:id="0" w:name="_Toc392691379" w:displacedByCustomXml="next"/>
    <w:sdt>
      <w:sdtPr>
        <w:rPr>
          <w:rFonts w:asciiTheme="minorHAnsi" w:eastAsiaTheme="minorEastAsia" w:hAnsiTheme="minorHAnsi" w:cstheme="minorBidi"/>
          <w:b w:val="0"/>
          <w:bCs w:val="0"/>
          <w:color w:val="auto"/>
          <w:sz w:val="22"/>
          <w:szCs w:val="22"/>
          <w:lang w:val="en-AU" w:eastAsia="en-US"/>
        </w:rPr>
        <w:id w:val="1229107971"/>
        <w:docPartObj>
          <w:docPartGallery w:val="Table of Contents"/>
          <w:docPartUnique/>
        </w:docPartObj>
      </w:sdtPr>
      <w:sdtEndPr>
        <w:rPr>
          <w:noProof/>
          <w:sz w:val="24"/>
          <w:szCs w:val="24"/>
        </w:rPr>
      </w:sdtEndPr>
      <w:sdtContent>
        <w:p w14:paraId="3842EC95" w14:textId="77777777" w:rsidR="00887EE3" w:rsidRPr="008B120B" w:rsidRDefault="00887EE3" w:rsidP="00916D7C">
          <w:pPr>
            <w:pStyle w:val="TOCHeading"/>
            <w:spacing w:after="160" w:line="360" w:lineRule="auto"/>
            <w:rPr>
              <w:lang w:val="en-AU"/>
            </w:rPr>
          </w:pPr>
          <w:r w:rsidRPr="008B120B">
            <w:rPr>
              <w:rFonts w:asciiTheme="minorHAnsi" w:hAnsiTheme="minorHAnsi"/>
              <w:color w:val="7030A0"/>
              <w:sz w:val="36"/>
              <w:lang w:val="en-AU"/>
            </w:rPr>
            <w:t>Contents</w:t>
          </w:r>
        </w:p>
        <w:p w14:paraId="55F1F52C" w14:textId="24E9D100" w:rsidR="00A94BAC" w:rsidRDefault="00244C2B">
          <w:pPr>
            <w:pStyle w:val="TOC1"/>
            <w:tabs>
              <w:tab w:val="left" w:pos="440"/>
              <w:tab w:val="right" w:leader="dot" w:pos="9016"/>
            </w:tabs>
            <w:rPr>
              <w:rFonts w:eastAsiaTheme="minorEastAsia"/>
              <w:noProof/>
              <w:kern w:val="2"/>
              <w:sz w:val="22"/>
              <w:szCs w:val="22"/>
              <w:lang w:eastAsia="en-AU"/>
              <w14:ligatures w14:val="standardContextual"/>
            </w:rPr>
          </w:pPr>
          <w:r w:rsidRPr="008B120B">
            <w:fldChar w:fldCharType="begin"/>
          </w:r>
          <w:r w:rsidR="00887EE3" w:rsidRPr="008B120B">
            <w:instrText xml:space="preserve"> TOC \o "1-3" \h \z \u </w:instrText>
          </w:r>
          <w:r w:rsidRPr="008B120B">
            <w:fldChar w:fldCharType="separate"/>
          </w:r>
          <w:hyperlink w:anchor="_Toc150180109" w:history="1">
            <w:r w:rsidR="00A94BAC" w:rsidRPr="002B2638">
              <w:rPr>
                <w:rStyle w:val="Hyperlink"/>
                <w:noProof/>
              </w:rPr>
              <w:t>1.</w:t>
            </w:r>
            <w:r w:rsidR="00A94BAC">
              <w:rPr>
                <w:rFonts w:eastAsiaTheme="minorEastAsia"/>
                <w:noProof/>
                <w:kern w:val="2"/>
                <w:sz w:val="22"/>
                <w:szCs w:val="22"/>
                <w:lang w:eastAsia="en-AU"/>
                <w14:ligatures w14:val="standardContextual"/>
              </w:rPr>
              <w:tab/>
            </w:r>
            <w:r w:rsidR="00A94BAC" w:rsidRPr="002B2638">
              <w:rPr>
                <w:rStyle w:val="Hyperlink"/>
                <w:noProof/>
              </w:rPr>
              <w:t>Summary and recommendations</w:t>
            </w:r>
            <w:r w:rsidR="00A94BAC">
              <w:rPr>
                <w:noProof/>
                <w:webHidden/>
              </w:rPr>
              <w:tab/>
            </w:r>
            <w:r w:rsidR="00A94BAC">
              <w:rPr>
                <w:noProof/>
                <w:webHidden/>
              </w:rPr>
              <w:fldChar w:fldCharType="begin"/>
            </w:r>
            <w:r w:rsidR="00A94BAC">
              <w:rPr>
                <w:noProof/>
                <w:webHidden/>
              </w:rPr>
              <w:instrText xml:space="preserve"> PAGEREF _Toc150180109 \h </w:instrText>
            </w:r>
            <w:r w:rsidR="00A94BAC">
              <w:rPr>
                <w:noProof/>
                <w:webHidden/>
              </w:rPr>
            </w:r>
            <w:r w:rsidR="00A94BAC">
              <w:rPr>
                <w:noProof/>
                <w:webHidden/>
              </w:rPr>
              <w:fldChar w:fldCharType="separate"/>
            </w:r>
            <w:r w:rsidR="002047C4">
              <w:rPr>
                <w:noProof/>
                <w:webHidden/>
              </w:rPr>
              <w:t>5</w:t>
            </w:r>
            <w:r w:rsidR="00A94BAC">
              <w:rPr>
                <w:noProof/>
                <w:webHidden/>
              </w:rPr>
              <w:fldChar w:fldCharType="end"/>
            </w:r>
          </w:hyperlink>
        </w:p>
        <w:p w14:paraId="3E578E79" w14:textId="4FCF4165" w:rsidR="00A94BAC" w:rsidRDefault="00A94BAC">
          <w:pPr>
            <w:pStyle w:val="TOC1"/>
            <w:tabs>
              <w:tab w:val="left" w:pos="440"/>
              <w:tab w:val="right" w:leader="dot" w:pos="9016"/>
            </w:tabs>
            <w:rPr>
              <w:rFonts w:eastAsiaTheme="minorEastAsia"/>
              <w:noProof/>
              <w:kern w:val="2"/>
              <w:sz w:val="22"/>
              <w:szCs w:val="22"/>
              <w:lang w:eastAsia="en-AU"/>
              <w14:ligatures w14:val="standardContextual"/>
            </w:rPr>
          </w:pPr>
          <w:hyperlink w:anchor="_Toc150180110" w:history="1">
            <w:r w:rsidRPr="002B2638">
              <w:rPr>
                <w:rStyle w:val="Hyperlink"/>
                <w:noProof/>
              </w:rPr>
              <w:t>2.</w:t>
            </w:r>
            <w:r>
              <w:rPr>
                <w:rFonts w:eastAsiaTheme="minorEastAsia"/>
                <w:noProof/>
                <w:kern w:val="2"/>
                <w:sz w:val="22"/>
                <w:szCs w:val="22"/>
                <w:lang w:eastAsia="en-AU"/>
                <w14:ligatures w14:val="standardContextual"/>
              </w:rPr>
              <w:tab/>
            </w:r>
            <w:r w:rsidRPr="002B2638">
              <w:rPr>
                <w:rStyle w:val="Hyperlink"/>
                <w:noProof/>
              </w:rPr>
              <w:t>Introduction</w:t>
            </w:r>
            <w:r>
              <w:rPr>
                <w:noProof/>
                <w:webHidden/>
              </w:rPr>
              <w:tab/>
            </w:r>
            <w:r>
              <w:rPr>
                <w:noProof/>
                <w:webHidden/>
              </w:rPr>
              <w:fldChar w:fldCharType="begin"/>
            </w:r>
            <w:r>
              <w:rPr>
                <w:noProof/>
                <w:webHidden/>
              </w:rPr>
              <w:instrText xml:space="preserve"> PAGEREF _Toc150180110 \h </w:instrText>
            </w:r>
            <w:r>
              <w:rPr>
                <w:noProof/>
                <w:webHidden/>
              </w:rPr>
            </w:r>
            <w:r>
              <w:rPr>
                <w:noProof/>
                <w:webHidden/>
              </w:rPr>
              <w:fldChar w:fldCharType="separate"/>
            </w:r>
            <w:r w:rsidR="002047C4">
              <w:rPr>
                <w:noProof/>
                <w:webHidden/>
              </w:rPr>
              <w:t>10</w:t>
            </w:r>
            <w:r>
              <w:rPr>
                <w:noProof/>
                <w:webHidden/>
              </w:rPr>
              <w:fldChar w:fldCharType="end"/>
            </w:r>
          </w:hyperlink>
        </w:p>
        <w:p w14:paraId="40018A9A" w14:textId="48C9784D"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11" w:history="1">
            <w:r w:rsidRPr="002B2638">
              <w:rPr>
                <w:rStyle w:val="Hyperlink"/>
                <w:noProof/>
              </w:rPr>
              <w:t>2.1.</w:t>
            </w:r>
            <w:r>
              <w:rPr>
                <w:rFonts w:eastAsiaTheme="minorEastAsia"/>
                <w:noProof/>
                <w:kern w:val="2"/>
                <w:sz w:val="22"/>
                <w:szCs w:val="22"/>
                <w:lang w:eastAsia="en-AU"/>
                <w14:ligatures w14:val="standardContextual"/>
              </w:rPr>
              <w:tab/>
            </w:r>
            <w:r w:rsidRPr="002B2638">
              <w:rPr>
                <w:rStyle w:val="Hyperlink"/>
                <w:noProof/>
              </w:rPr>
              <w:t>Model of Citizenhood Support</w:t>
            </w:r>
            <w:r>
              <w:rPr>
                <w:noProof/>
                <w:webHidden/>
              </w:rPr>
              <w:tab/>
            </w:r>
            <w:r>
              <w:rPr>
                <w:noProof/>
                <w:webHidden/>
              </w:rPr>
              <w:fldChar w:fldCharType="begin"/>
            </w:r>
            <w:r>
              <w:rPr>
                <w:noProof/>
                <w:webHidden/>
              </w:rPr>
              <w:instrText xml:space="preserve"> PAGEREF _Toc150180111 \h </w:instrText>
            </w:r>
            <w:r>
              <w:rPr>
                <w:noProof/>
                <w:webHidden/>
              </w:rPr>
            </w:r>
            <w:r>
              <w:rPr>
                <w:noProof/>
                <w:webHidden/>
              </w:rPr>
              <w:fldChar w:fldCharType="separate"/>
            </w:r>
            <w:r w:rsidR="002047C4">
              <w:rPr>
                <w:noProof/>
                <w:webHidden/>
              </w:rPr>
              <w:t>12</w:t>
            </w:r>
            <w:r>
              <w:rPr>
                <w:noProof/>
                <w:webHidden/>
              </w:rPr>
              <w:fldChar w:fldCharType="end"/>
            </w:r>
          </w:hyperlink>
        </w:p>
        <w:p w14:paraId="162F1D33" w14:textId="7CD4B3FE"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12" w:history="1">
            <w:r w:rsidRPr="002B2638">
              <w:rPr>
                <w:rStyle w:val="Hyperlink"/>
                <w:noProof/>
              </w:rPr>
              <w:t>2.2.</w:t>
            </w:r>
            <w:r>
              <w:rPr>
                <w:rFonts w:eastAsiaTheme="minorEastAsia"/>
                <w:noProof/>
                <w:kern w:val="2"/>
                <w:sz w:val="22"/>
                <w:szCs w:val="22"/>
                <w:lang w:eastAsia="en-AU"/>
                <w14:ligatures w14:val="standardContextual"/>
              </w:rPr>
              <w:tab/>
            </w:r>
            <w:r w:rsidRPr="002B2638">
              <w:rPr>
                <w:rStyle w:val="Hyperlink"/>
                <w:noProof/>
              </w:rPr>
              <w:t>Outcomes to guide how Greater Adelaide should grow</w:t>
            </w:r>
            <w:r>
              <w:rPr>
                <w:noProof/>
                <w:webHidden/>
              </w:rPr>
              <w:tab/>
            </w:r>
            <w:r>
              <w:rPr>
                <w:noProof/>
                <w:webHidden/>
              </w:rPr>
              <w:fldChar w:fldCharType="begin"/>
            </w:r>
            <w:r>
              <w:rPr>
                <w:noProof/>
                <w:webHidden/>
              </w:rPr>
              <w:instrText xml:space="preserve"> PAGEREF _Toc150180112 \h </w:instrText>
            </w:r>
            <w:r>
              <w:rPr>
                <w:noProof/>
                <w:webHidden/>
              </w:rPr>
            </w:r>
            <w:r>
              <w:rPr>
                <w:noProof/>
                <w:webHidden/>
              </w:rPr>
              <w:fldChar w:fldCharType="separate"/>
            </w:r>
            <w:r w:rsidR="002047C4">
              <w:rPr>
                <w:noProof/>
                <w:webHidden/>
              </w:rPr>
              <w:t>13</w:t>
            </w:r>
            <w:r>
              <w:rPr>
                <w:noProof/>
                <w:webHidden/>
              </w:rPr>
              <w:fldChar w:fldCharType="end"/>
            </w:r>
          </w:hyperlink>
        </w:p>
        <w:p w14:paraId="287FEC8B" w14:textId="25F79A51"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13" w:history="1">
            <w:r w:rsidRPr="002B2638">
              <w:rPr>
                <w:rStyle w:val="Hyperlink"/>
                <w:noProof/>
              </w:rPr>
              <w:t>2.3.</w:t>
            </w:r>
            <w:r>
              <w:rPr>
                <w:rFonts w:eastAsiaTheme="minorEastAsia"/>
                <w:noProof/>
                <w:kern w:val="2"/>
                <w:sz w:val="22"/>
                <w:szCs w:val="22"/>
                <w:lang w:eastAsia="en-AU"/>
                <w14:ligatures w14:val="standardContextual"/>
              </w:rPr>
              <w:tab/>
            </w:r>
            <w:r w:rsidRPr="002B2638">
              <w:rPr>
                <w:rStyle w:val="Hyperlink"/>
                <w:noProof/>
              </w:rPr>
              <w:t>Principles to guide where Greater Adelaide should grow</w:t>
            </w:r>
            <w:r>
              <w:rPr>
                <w:noProof/>
                <w:webHidden/>
              </w:rPr>
              <w:tab/>
            </w:r>
            <w:r>
              <w:rPr>
                <w:noProof/>
                <w:webHidden/>
              </w:rPr>
              <w:fldChar w:fldCharType="begin"/>
            </w:r>
            <w:r>
              <w:rPr>
                <w:noProof/>
                <w:webHidden/>
              </w:rPr>
              <w:instrText xml:space="preserve"> PAGEREF _Toc150180113 \h </w:instrText>
            </w:r>
            <w:r>
              <w:rPr>
                <w:noProof/>
                <w:webHidden/>
              </w:rPr>
            </w:r>
            <w:r>
              <w:rPr>
                <w:noProof/>
                <w:webHidden/>
              </w:rPr>
              <w:fldChar w:fldCharType="separate"/>
            </w:r>
            <w:r w:rsidR="002047C4">
              <w:rPr>
                <w:noProof/>
                <w:webHidden/>
              </w:rPr>
              <w:t>16</w:t>
            </w:r>
            <w:r>
              <w:rPr>
                <w:noProof/>
                <w:webHidden/>
              </w:rPr>
              <w:fldChar w:fldCharType="end"/>
            </w:r>
          </w:hyperlink>
        </w:p>
        <w:p w14:paraId="4EA2611E" w14:textId="25B1307B"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14" w:history="1">
            <w:r w:rsidRPr="002B2638">
              <w:rPr>
                <w:rStyle w:val="Hyperlink"/>
                <w:noProof/>
              </w:rPr>
              <w:t>2.4.</w:t>
            </w:r>
            <w:r>
              <w:rPr>
                <w:rFonts w:eastAsiaTheme="minorEastAsia"/>
                <w:noProof/>
                <w:kern w:val="2"/>
                <w:sz w:val="22"/>
                <w:szCs w:val="22"/>
                <w:lang w:eastAsia="en-AU"/>
                <w14:ligatures w14:val="standardContextual"/>
              </w:rPr>
              <w:tab/>
            </w:r>
            <w:r w:rsidRPr="002B2638">
              <w:rPr>
                <w:rStyle w:val="Hyperlink"/>
                <w:noProof/>
              </w:rPr>
              <w:t>Co-designing the GARP and its implementation</w:t>
            </w:r>
            <w:r>
              <w:rPr>
                <w:noProof/>
                <w:webHidden/>
              </w:rPr>
              <w:tab/>
            </w:r>
            <w:r>
              <w:rPr>
                <w:noProof/>
                <w:webHidden/>
              </w:rPr>
              <w:fldChar w:fldCharType="begin"/>
            </w:r>
            <w:r>
              <w:rPr>
                <w:noProof/>
                <w:webHidden/>
              </w:rPr>
              <w:instrText xml:space="preserve"> PAGEREF _Toc150180114 \h </w:instrText>
            </w:r>
            <w:r>
              <w:rPr>
                <w:noProof/>
                <w:webHidden/>
              </w:rPr>
            </w:r>
            <w:r>
              <w:rPr>
                <w:noProof/>
                <w:webHidden/>
              </w:rPr>
              <w:fldChar w:fldCharType="separate"/>
            </w:r>
            <w:r w:rsidR="002047C4">
              <w:rPr>
                <w:noProof/>
                <w:webHidden/>
              </w:rPr>
              <w:t>18</w:t>
            </w:r>
            <w:r>
              <w:rPr>
                <w:noProof/>
                <w:webHidden/>
              </w:rPr>
              <w:fldChar w:fldCharType="end"/>
            </w:r>
          </w:hyperlink>
        </w:p>
        <w:p w14:paraId="4674A6D2" w14:textId="4D72DB43"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15" w:history="1">
            <w:r w:rsidRPr="002B2638">
              <w:rPr>
                <w:rStyle w:val="Hyperlink"/>
                <w:noProof/>
              </w:rPr>
              <w:t>2.5.</w:t>
            </w:r>
            <w:r>
              <w:rPr>
                <w:rFonts w:eastAsiaTheme="minorEastAsia"/>
                <w:noProof/>
                <w:kern w:val="2"/>
                <w:sz w:val="22"/>
                <w:szCs w:val="22"/>
                <w:lang w:eastAsia="en-AU"/>
                <w14:ligatures w14:val="standardContextual"/>
              </w:rPr>
              <w:tab/>
            </w:r>
            <w:r w:rsidRPr="002B2638">
              <w:rPr>
                <w:rStyle w:val="Hyperlink"/>
                <w:noProof/>
              </w:rPr>
              <w:t>Setting priorities and tracking progress</w:t>
            </w:r>
            <w:r>
              <w:rPr>
                <w:noProof/>
                <w:webHidden/>
              </w:rPr>
              <w:tab/>
            </w:r>
            <w:r>
              <w:rPr>
                <w:noProof/>
                <w:webHidden/>
              </w:rPr>
              <w:fldChar w:fldCharType="begin"/>
            </w:r>
            <w:r>
              <w:rPr>
                <w:noProof/>
                <w:webHidden/>
              </w:rPr>
              <w:instrText xml:space="preserve"> PAGEREF _Toc150180115 \h </w:instrText>
            </w:r>
            <w:r>
              <w:rPr>
                <w:noProof/>
                <w:webHidden/>
              </w:rPr>
            </w:r>
            <w:r>
              <w:rPr>
                <w:noProof/>
                <w:webHidden/>
              </w:rPr>
              <w:fldChar w:fldCharType="separate"/>
            </w:r>
            <w:r w:rsidR="002047C4">
              <w:rPr>
                <w:noProof/>
                <w:webHidden/>
              </w:rPr>
              <w:t>19</w:t>
            </w:r>
            <w:r>
              <w:rPr>
                <w:noProof/>
                <w:webHidden/>
              </w:rPr>
              <w:fldChar w:fldCharType="end"/>
            </w:r>
          </w:hyperlink>
        </w:p>
        <w:p w14:paraId="0430A7DA" w14:textId="5B74F6B7"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16" w:history="1">
            <w:r w:rsidRPr="002B2638">
              <w:rPr>
                <w:rStyle w:val="Hyperlink"/>
                <w:noProof/>
              </w:rPr>
              <w:t>2.6.</w:t>
            </w:r>
            <w:r>
              <w:rPr>
                <w:rFonts w:eastAsiaTheme="minorEastAsia"/>
                <w:noProof/>
                <w:kern w:val="2"/>
                <w:sz w:val="22"/>
                <w:szCs w:val="22"/>
                <w:lang w:eastAsia="en-AU"/>
                <w14:ligatures w14:val="standardContextual"/>
              </w:rPr>
              <w:tab/>
            </w:r>
            <w:r w:rsidRPr="002B2638">
              <w:rPr>
                <w:rStyle w:val="Hyperlink"/>
                <w:noProof/>
              </w:rPr>
              <w:t>Note on language use</w:t>
            </w:r>
            <w:r>
              <w:rPr>
                <w:noProof/>
                <w:webHidden/>
              </w:rPr>
              <w:tab/>
            </w:r>
            <w:r>
              <w:rPr>
                <w:noProof/>
                <w:webHidden/>
              </w:rPr>
              <w:fldChar w:fldCharType="begin"/>
            </w:r>
            <w:r>
              <w:rPr>
                <w:noProof/>
                <w:webHidden/>
              </w:rPr>
              <w:instrText xml:space="preserve"> PAGEREF _Toc150180116 \h </w:instrText>
            </w:r>
            <w:r>
              <w:rPr>
                <w:noProof/>
                <w:webHidden/>
              </w:rPr>
            </w:r>
            <w:r>
              <w:rPr>
                <w:noProof/>
                <w:webHidden/>
              </w:rPr>
              <w:fldChar w:fldCharType="separate"/>
            </w:r>
            <w:r w:rsidR="002047C4">
              <w:rPr>
                <w:noProof/>
                <w:webHidden/>
              </w:rPr>
              <w:t>20</w:t>
            </w:r>
            <w:r>
              <w:rPr>
                <w:noProof/>
                <w:webHidden/>
              </w:rPr>
              <w:fldChar w:fldCharType="end"/>
            </w:r>
          </w:hyperlink>
        </w:p>
        <w:p w14:paraId="59A3F657" w14:textId="24D11821" w:rsidR="00A94BAC" w:rsidRDefault="00A94BAC">
          <w:pPr>
            <w:pStyle w:val="TOC1"/>
            <w:tabs>
              <w:tab w:val="left" w:pos="440"/>
              <w:tab w:val="right" w:leader="dot" w:pos="9016"/>
            </w:tabs>
            <w:rPr>
              <w:rFonts w:eastAsiaTheme="minorEastAsia"/>
              <w:noProof/>
              <w:kern w:val="2"/>
              <w:sz w:val="22"/>
              <w:szCs w:val="22"/>
              <w:lang w:eastAsia="en-AU"/>
              <w14:ligatures w14:val="standardContextual"/>
            </w:rPr>
          </w:pPr>
          <w:hyperlink w:anchor="_Toc150180117" w:history="1">
            <w:r w:rsidRPr="002B2638">
              <w:rPr>
                <w:rStyle w:val="Hyperlink"/>
                <w:noProof/>
              </w:rPr>
              <w:t>3.</w:t>
            </w:r>
            <w:r>
              <w:rPr>
                <w:rFonts w:eastAsiaTheme="minorEastAsia"/>
                <w:noProof/>
                <w:kern w:val="2"/>
                <w:sz w:val="22"/>
                <w:szCs w:val="22"/>
                <w:lang w:eastAsia="en-AU"/>
                <w14:ligatures w14:val="standardContextual"/>
              </w:rPr>
              <w:tab/>
            </w:r>
            <w:r w:rsidRPr="002B2638">
              <w:rPr>
                <w:rStyle w:val="Hyperlink"/>
                <w:noProof/>
              </w:rPr>
              <w:t>Focusing on housing outcomes that work for all people</w:t>
            </w:r>
            <w:r>
              <w:rPr>
                <w:noProof/>
                <w:webHidden/>
              </w:rPr>
              <w:tab/>
            </w:r>
            <w:r>
              <w:rPr>
                <w:noProof/>
                <w:webHidden/>
              </w:rPr>
              <w:fldChar w:fldCharType="begin"/>
            </w:r>
            <w:r>
              <w:rPr>
                <w:noProof/>
                <w:webHidden/>
              </w:rPr>
              <w:instrText xml:space="preserve"> PAGEREF _Toc150180117 \h </w:instrText>
            </w:r>
            <w:r>
              <w:rPr>
                <w:noProof/>
                <w:webHidden/>
              </w:rPr>
            </w:r>
            <w:r>
              <w:rPr>
                <w:noProof/>
                <w:webHidden/>
              </w:rPr>
              <w:fldChar w:fldCharType="separate"/>
            </w:r>
            <w:r w:rsidR="002047C4">
              <w:rPr>
                <w:noProof/>
                <w:webHidden/>
              </w:rPr>
              <w:t>21</w:t>
            </w:r>
            <w:r>
              <w:rPr>
                <w:noProof/>
                <w:webHidden/>
              </w:rPr>
              <w:fldChar w:fldCharType="end"/>
            </w:r>
          </w:hyperlink>
        </w:p>
        <w:p w14:paraId="022E3E87" w14:textId="3EFA839E"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18" w:history="1">
            <w:r w:rsidRPr="002B2638">
              <w:rPr>
                <w:rStyle w:val="Hyperlink"/>
                <w:noProof/>
              </w:rPr>
              <w:t>3.1.</w:t>
            </w:r>
            <w:r>
              <w:rPr>
                <w:rFonts w:eastAsiaTheme="minorEastAsia"/>
                <w:noProof/>
                <w:kern w:val="2"/>
                <w:sz w:val="22"/>
                <w:szCs w:val="22"/>
                <w:lang w:eastAsia="en-AU"/>
                <w14:ligatures w14:val="standardContextual"/>
              </w:rPr>
              <w:tab/>
            </w:r>
            <w:r w:rsidRPr="002B2638">
              <w:rPr>
                <w:rStyle w:val="Hyperlink"/>
                <w:noProof/>
              </w:rPr>
              <w:t xml:space="preserve">Providing genuine housing choice and a place to call </w:t>
            </w:r>
            <w:r w:rsidRPr="002B2638">
              <w:rPr>
                <w:rStyle w:val="Hyperlink"/>
                <w:i/>
                <w:iCs/>
                <w:noProof/>
              </w:rPr>
              <w:t>home</w:t>
            </w:r>
            <w:r>
              <w:rPr>
                <w:noProof/>
                <w:webHidden/>
              </w:rPr>
              <w:tab/>
            </w:r>
            <w:r>
              <w:rPr>
                <w:noProof/>
                <w:webHidden/>
              </w:rPr>
              <w:fldChar w:fldCharType="begin"/>
            </w:r>
            <w:r>
              <w:rPr>
                <w:noProof/>
                <w:webHidden/>
              </w:rPr>
              <w:instrText xml:space="preserve"> PAGEREF _Toc150180118 \h </w:instrText>
            </w:r>
            <w:r>
              <w:rPr>
                <w:noProof/>
                <w:webHidden/>
              </w:rPr>
            </w:r>
            <w:r>
              <w:rPr>
                <w:noProof/>
                <w:webHidden/>
              </w:rPr>
              <w:fldChar w:fldCharType="separate"/>
            </w:r>
            <w:r w:rsidR="002047C4">
              <w:rPr>
                <w:noProof/>
                <w:webHidden/>
              </w:rPr>
              <w:t>21</w:t>
            </w:r>
            <w:r>
              <w:rPr>
                <w:noProof/>
                <w:webHidden/>
              </w:rPr>
              <w:fldChar w:fldCharType="end"/>
            </w:r>
          </w:hyperlink>
        </w:p>
        <w:p w14:paraId="43216921" w14:textId="048DCA31"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19" w:history="1">
            <w:r w:rsidRPr="002B2638">
              <w:rPr>
                <w:rStyle w:val="Hyperlink"/>
                <w:noProof/>
              </w:rPr>
              <w:t>3.2.</w:t>
            </w:r>
            <w:r>
              <w:rPr>
                <w:rFonts w:eastAsiaTheme="minorEastAsia"/>
                <w:noProof/>
                <w:kern w:val="2"/>
                <w:sz w:val="22"/>
                <w:szCs w:val="22"/>
                <w:lang w:eastAsia="en-AU"/>
                <w14:ligatures w14:val="standardContextual"/>
              </w:rPr>
              <w:tab/>
            </w:r>
            <w:r w:rsidRPr="002B2638">
              <w:rPr>
                <w:rStyle w:val="Hyperlink"/>
                <w:noProof/>
              </w:rPr>
              <w:t>Increasing supply of accessible dwellings</w:t>
            </w:r>
            <w:r>
              <w:rPr>
                <w:noProof/>
                <w:webHidden/>
              </w:rPr>
              <w:tab/>
            </w:r>
            <w:r>
              <w:rPr>
                <w:noProof/>
                <w:webHidden/>
              </w:rPr>
              <w:fldChar w:fldCharType="begin"/>
            </w:r>
            <w:r>
              <w:rPr>
                <w:noProof/>
                <w:webHidden/>
              </w:rPr>
              <w:instrText xml:space="preserve"> PAGEREF _Toc150180119 \h </w:instrText>
            </w:r>
            <w:r>
              <w:rPr>
                <w:noProof/>
                <w:webHidden/>
              </w:rPr>
            </w:r>
            <w:r>
              <w:rPr>
                <w:noProof/>
                <w:webHidden/>
              </w:rPr>
              <w:fldChar w:fldCharType="separate"/>
            </w:r>
            <w:r w:rsidR="002047C4">
              <w:rPr>
                <w:noProof/>
                <w:webHidden/>
              </w:rPr>
              <w:t>23</w:t>
            </w:r>
            <w:r>
              <w:rPr>
                <w:noProof/>
                <w:webHidden/>
              </w:rPr>
              <w:fldChar w:fldCharType="end"/>
            </w:r>
          </w:hyperlink>
        </w:p>
        <w:p w14:paraId="73CAF7A5" w14:textId="61F5B448"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20" w:history="1">
            <w:r w:rsidRPr="002B2638">
              <w:rPr>
                <w:rStyle w:val="Hyperlink"/>
                <w:noProof/>
              </w:rPr>
              <w:t>3.3.</w:t>
            </w:r>
            <w:r>
              <w:rPr>
                <w:rFonts w:eastAsiaTheme="minorEastAsia"/>
                <w:noProof/>
                <w:kern w:val="2"/>
                <w:sz w:val="22"/>
                <w:szCs w:val="22"/>
                <w:lang w:eastAsia="en-AU"/>
                <w14:ligatures w14:val="standardContextual"/>
              </w:rPr>
              <w:tab/>
            </w:r>
            <w:r w:rsidRPr="002B2638">
              <w:rPr>
                <w:rStyle w:val="Hyperlink"/>
                <w:noProof/>
              </w:rPr>
              <w:t>Implementing the NCC Livable Housing Design Standard</w:t>
            </w:r>
            <w:r>
              <w:rPr>
                <w:noProof/>
                <w:webHidden/>
              </w:rPr>
              <w:tab/>
            </w:r>
            <w:r>
              <w:rPr>
                <w:noProof/>
                <w:webHidden/>
              </w:rPr>
              <w:fldChar w:fldCharType="begin"/>
            </w:r>
            <w:r>
              <w:rPr>
                <w:noProof/>
                <w:webHidden/>
              </w:rPr>
              <w:instrText xml:space="preserve"> PAGEREF _Toc150180120 \h </w:instrText>
            </w:r>
            <w:r>
              <w:rPr>
                <w:noProof/>
                <w:webHidden/>
              </w:rPr>
            </w:r>
            <w:r>
              <w:rPr>
                <w:noProof/>
                <w:webHidden/>
              </w:rPr>
              <w:fldChar w:fldCharType="separate"/>
            </w:r>
            <w:r w:rsidR="002047C4">
              <w:rPr>
                <w:noProof/>
                <w:webHidden/>
              </w:rPr>
              <w:t>25</w:t>
            </w:r>
            <w:r>
              <w:rPr>
                <w:noProof/>
                <w:webHidden/>
              </w:rPr>
              <w:fldChar w:fldCharType="end"/>
            </w:r>
          </w:hyperlink>
        </w:p>
        <w:p w14:paraId="4C8B71EC" w14:textId="1583BCDE"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21" w:history="1">
            <w:r w:rsidRPr="002B2638">
              <w:rPr>
                <w:rStyle w:val="Hyperlink"/>
                <w:noProof/>
              </w:rPr>
              <w:t>3.4.</w:t>
            </w:r>
            <w:r>
              <w:rPr>
                <w:rFonts w:eastAsiaTheme="minorEastAsia"/>
                <w:noProof/>
                <w:kern w:val="2"/>
                <w:sz w:val="22"/>
                <w:szCs w:val="22"/>
                <w:lang w:eastAsia="en-AU"/>
                <w14:ligatures w14:val="standardContextual"/>
              </w:rPr>
              <w:tab/>
            </w:r>
            <w:r w:rsidRPr="002B2638">
              <w:rPr>
                <w:rStyle w:val="Hyperlink"/>
                <w:noProof/>
              </w:rPr>
              <w:t>Promoting Livable Housing Design beyond the NCC</w:t>
            </w:r>
            <w:r>
              <w:rPr>
                <w:noProof/>
                <w:webHidden/>
              </w:rPr>
              <w:tab/>
            </w:r>
            <w:r>
              <w:rPr>
                <w:noProof/>
                <w:webHidden/>
              </w:rPr>
              <w:fldChar w:fldCharType="begin"/>
            </w:r>
            <w:r>
              <w:rPr>
                <w:noProof/>
                <w:webHidden/>
              </w:rPr>
              <w:instrText xml:space="preserve"> PAGEREF _Toc150180121 \h </w:instrText>
            </w:r>
            <w:r>
              <w:rPr>
                <w:noProof/>
                <w:webHidden/>
              </w:rPr>
            </w:r>
            <w:r>
              <w:rPr>
                <w:noProof/>
                <w:webHidden/>
              </w:rPr>
              <w:fldChar w:fldCharType="separate"/>
            </w:r>
            <w:r w:rsidR="002047C4">
              <w:rPr>
                <w:noProof/>
                <w:webHidden/>
              </w:rPr>
              <w:t>27</w:t>
            </w:r>
            <w:r>
              <w:rPr>
                <w:noProof/>
                <w:webHidden/>
              </w:rPr>
              <w:fldChar w:fldCharType="end"/>
            </w:r>
          </w:hyperlink>
        </w:p>
        <w:p w14:paraId="1C9E43AD" w14:textId="367380F2"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22" w:history="1">
            <w:r w:rsidRPr="002B2638">
              <w:rPr>
                <w:rStyle w:val="Hyperlink"/>
                <w:noProof/>
              </w:rPr>
              <w:t>3.5.</w:t>
            </w:r>
            <w:r>
              <w:rPr>
                <w:rFonts w:eastAsiaTheme="minorEastAsia"/>
                <w:noProof/>
                <w:kern w:val="2"/>
                <w:sz w:val="22"/>
                <w:szCs w:val="22"/>
                <w:lang w:eastAsia="en-AU"/>
                <w14:ligatures w14:val="standardContextual"/>
              </w:rPr>
              <w:tab/>
            </w:r>
            <w:r w:rsidRPr="002B2638">
              <w:rPr>
                <w:rStyle w:val="Hyperlink"/>
                <w:noProof/>
              </w:rPr>
              <w:t>Implementing an Accessible Housing Overlay in South Australia</w:t>
            </w:r>
            <w:r>
              <w:rPr>
                <w:noProof/>
                <w:webHidden/>
              </w:rPr>
              <w:tab/>
            </w:r>
            <w:r>
              <w:rPr>
                <w:noProof/>
                <w:webHidden/>
              </w:rPr>
              <w:fldChar w:fldCharType="begin"/>
            </w:r>
            <w:r>
              <w:rPr>
                <w:noProof/>
                <w:webHidden/>
              </w:rPr>
              <w:instrText xml:space="preserve"> PAGEREF _Toc150180122 \h </w:instrText>
            </w:r>
            <w:r>
              <w:rPr>
                <w:noProof/>
                <w:webHidden/>
              </w:rPr>
            </w:r>
            <w:r>
              <w:rPr>
                <w:noProof/>
                <w:webHidden/>
              </w:rPr>
              <w:fldChar w:fldCharType="separate"/>
            </w:r>
            <w:r w:rsidR="002047C4">
              <w:rPr>
                <w:noProof/>
                <w:webHidden/>
              </w:rPr>
              <w:t>28</w:t>
            </w:r>
            <w:r>
              <w:rPr>
                <w:noProof/>
                <w:webHidden/>
              </w:rPr>
              <w:fldChar w:fldCharType="end"/>
            </w:r>
          </w:hyperlink>
        </w:p>
        <w:p w14:paraId="7E970E9F" w14:textId="4C6D8790" w:rsidR="00A94BAC" w:rsidRDefault="00A94BAC">
          <w:pPr>
            <w:pStyle w:val="TOC1"/>
            <w:tabs>
              <w:tab w:val="left" w:pos="440"/>
              <w:tab w:val="right" w:leader="dot" w:pos="9016"/>
            </w:tabs>
            <w:rPr>
              <w:rFonts w:eastAsiaTheme="minorEastAsia"/>
              <w:noProof/>
              <w:kern w:val="2"/>
              <w:sz w:val="22"/>
              <w:szCs w:val="22"/>
              <w:lang w:eastAsia="en-AU"/>
              <w14:ligatures w14:val="standardContextual"/>
            </w:rPr>
          </w:pPr>
          <w:hyperlink w:anchor="_Toc150180123" w:history="1">
            <w:r w:rsidRPr="002B2638">
              <w:rPr>
                <w:rStyle w:val="Hyperlink"/>
                <w:noProof/>
              </w:rPr>
              <w:t>4.</w:t>
            </w:r>
            <w:r>
              <w:rPr>
                <w:rFonts w:eastAsiaTheme="minorEastAsia"/>
                <w:noProof/>
                <w:kern w:val="2"/>
                <w:sz w:val="22"/>
                <w:szCs w:val="22"/>
                <w:lang w:eastAsia="en-AU"/>
                <w14:ligatures w14:val="standardContextual"/>
              </w:rPr>
              <w:tab/>
            </w:r>
            <w:r w:rsidRPr="002B2638">
              <w:rPr>
                <w:rStyle w:val="Hyperlink"/>
                <w:noProof/>
              </w:rPr>
              <w:t>Building inclusive neighbourhoods and communities</w:t>
            </w:r>
            <w:r>
              <w:rPr>
                <w:noProof/>
                <w:webHidden/>
              </w:rPr>
              <w:tab/>
            </w:r>
            <w:r>
              <w:rPr>
                <w:noProof/>
                <w:webHidden/>
              </w:rPr>
              <w:fldChar w:fldCharType="begin"/>
            </w:r>
            <w:r>
              <w:rPr>
                <w:noProof/>
                <w:webHidden/>
              </w:rPr>
              <w:instrText xml:space="preserve"> PAGEREF _Toc150180123 \h </w:instrText>
            </w:r>
            <w:r>
              <w:rPr>
                <w:noProof/>
                <w:webHidden/>
              </w:rPr>
            </w:r>
            <w:r>
              <w:rPr>
                <w:noProof/>
                <w:webHidden/>
              </w:rPr>
              <w:fldChar w:fldCharType="separate"/>
            </w:r>
            <w:r w:rsidR="002047C4">
              <w:rPr>
                <w:noProof/>
                <w:webHidden/>
              </w:rPr>
              <w:t>31</w:t>
            </w:r>
            <w:r>
              <w:rPr>
                <w:noProof/>
                <w:webHidden/>
              </w:rPr>
              <w:fldChar w:fldCharType="end"/>
            </w:r>
          </w:hyperlink>
        </w:p>
        <w:p w14:paraId="0418F49C" w14:textId="28763728"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24" w:history="1">
            <w:r w:rsidRPr="002B2638">
              <w:rPr>
                <w:rStyle w:val="Hyperlink"/>
                <w:noProof/>
              </w:rPr>
              <w:t>4.1.</w:t>
            </w:r>
            <w:r>
              <w:rPr>
                <w:rFonts w:eastAsiaTheme="minorEastAsia"/>
                <w:noProof/>
                <w:kern w:val="2"/>
                <w:sz w:val="22"/>
                <w:szCs w:val="22"/>
                <w:lang w:eastAsia="en-AU"/>
                <w14:ligatures w14:val="standardContextual"/>
              </w:rPr>
              <w:tab/>
            </w:r>
            <w:r w:rsidRPr="002B2638">
              <w:rPr>
                <w:rStyle w:val="Hyperlink"/>
                <w:noProof/>
              </w:rPr>
              <w:t>Changing negative attitudes and creating connections</w:t>
            </w:r>
            <w:r>
              <w:rPr>
                <w:noProof/>
                <w:webHidden/>
              </w:rPr>
              <w:tab/>
            </w:r>
            <w:r>
              <w:rPr>
                <w:noProof/>
                <w:webHidden/>
              </w:rPr>
              <w:fldChar w:fldCharType="begin"/>
            </w:r>
            <w:r>
              <w:rPr>
                <w:noProof/>
                <w:webHidden/>
              </w:rPr>
              <w:instrText xml:space="preserve"> PAGEREF _Toc150180124 \h </w:instrText>
            </w:r>
            <w:r>
              <w:rPr>
                <w:noProof/>
                <w:webHidden/>
              </w:rPr>
            </w:r>
            <w:r>
              <w:rPr>
                <w:noProof/>
                <w:webHidden/>
              </w:rPr>
              <w:fldChar w:fldCharType="separate"/>
            </w:r>
            <w:r w:rsidR="002047C4">
              <w:rPr>
                <w:noProof/>
                <w:webHidden/>
              </w:rPr>
              <w:t>32</w:t>
            </w:r>
            <w:r>
              <w:rPr>
                <w:noProof/>
                <w:webHidden/>
              </w:rPr>
              <w:fldChar w:fldCharType="end"/>
            </w:r>
          </w:hyperlink>
        </w:p>
        <w:p w14:paraId="4C6CA81D" w14:textId="4CBE2B3E"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25" w:history="1">
            <w:r w:rsidRPr="002B2638">
              <w:rPr>
                <w:rStyle w:val="Hyperlink"/>
                <w:noProof/>
              </w:rPr>
              <w:t>4.2.</w:t>
            </w:r>
            <w:r>
              <w:rPr>
                <w:rFonts w:eastAsiaTheme="minorEastAsia"/>
                <w:noProof/>
                <w:kern w:val="2"/>
                <w:sz w:val="22"/>
                <w:szCs w:val="22"/>
                <w:lang w:eastAsia="en-AU"/>
                <w14:ligatures w14:val="standardContextual"/>
              </w:rPr>
              <w:tab/>
            </w:r>
            <w:r w:rsidRPr="002B2638">
              <w:rPr>
                <w:rStyle w:val="Hyperlink"/>
                <w:noProof/>
              </w:rPr>
              <w:t>Facilitating natural safeguards</w:t>
            </w:r>
            <w:r>
              <w:rPr>
                <w:noProof/>
                <w:webHidden/>
              </w:rPr>
              <w:tab/>
            </w:r>
            <w:r>
              <w:rPr>
                <w:noProof/>
                <w:webHidden/>
              </w:rPr>
              <w:fldChar w:fldCharType="begin"/>
            </w:r>
            <w:r>
              <w:rPr>
                <w:noProof/>
                <w:webHidden/>
              </w:rPr>
              <w:instrText xml:space="preserve"> PAGEREF _Toc150180125 \h </w:instrText>
            </w:r>
            <w:r>
              <w:rPr>
                <w:noProof/>
                <w:webHidden/>
              </w:rPr>
            </w:r>
            <w:r>
              <w:rPr>
                <w:noProof/>
                <w:webHidden/>
              </w:rPr>
              <w:fldChar w:fldCharType="separate"/>
            </w:r>
            <w:r w:rsidR="002047C4">
              <w:rPr>
                <w:noProof/>
                <w:webHidden/>
              </w:rPr>
              <w:t>34</w:t>
            </w:r>
            <w:r>
              <w:rPr>
                <w:noProof/>
                <w:webHidden/>
              </w:rPr>
              <w:fldChar w:fldCharType="end"/>
            </w:r>
          </w:hyperlink>
        </w:p>
        <w:p w14:paraId="7F7A3726" w14:textId="76EB9FB2"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26" w:history="1">
            <w:r w:rsidRPr="002B2638">
              <w:rPr>
                <w:rStyle w:val="Hyperlink"/>
                <w:noProof/>
              </w:rPr>
              <w:t>4.3.</w:t>
            </w:r>
            <w:r>
              <w:rPr>
                <w:rFonts w:eastAsiaTheme="minorEastAsia"/>
                <w:noProof/>
                <w:kern w:val="2"/>
                <w:sz w:val="22"/>
                <w:szCs w:val="22"/>
                <w:lang w:eastAsia="en-AU"/>
                <w14:ligatures w14:val="standardContextual"/>
              </w:rPr>
              <w:tab/>
            </w:r>
            <w:r w:rsidRPr="002B2638">
              <w:rPr>
                <w:rStyle w:val="Hyperlink"/>
                <w:noProof/>
              </w:rPr>
              <w:t>Initiatives to promote neighbourliness and a sense of belonging</w:t>
            </w:r>
            <w:r>
              <w:rPr>
                <w:noProof/>
                <w:webHidden/>
              </w:rPr>
              <w:tab/>
            </w:r>
            <w:r>
              <w:rPr>
                <w:noProof/>
                <w:webHidden/>
              </w:rPr>
              <w:fldChar w:fldCharType="begin"/>
            </w:r>
            <w:r>
              <w:rPr>
                <w:noProof/>
                <w:webHidden/>
              </w:rPr>
              <w:instrText xml:space="preserve"> PAGEREF _Toc150180126 \h </w:instrText>
            </w:r>
            <w:r>
              <w:rPr>
                <w:noProof/>
                <w:webHidden/>
              </w:rPr>
            </w:r>
            <w:r>
              <w:rPr>
                <w:noProof/>
                <w:webHidden/>
              </w:rPr>
              <w:fldChar w:fldCharType="separate"/>
            </w:r>
            <w:r w:rsidR="002047C4">
              <w:rPr>
                <w:noProof/>
                <w:webHidden/>
              </w:rPr>
              <w:t>35</w:t>
            </w:r>
            <w:r>
              <w:rPr>
                <w:noProof/>
                <w:webHidden/>
              </w:rPr>
              <w:fldChar w:fldCharType="end"/>
            </w:r>
          </w:hyperlink>
        </w:p>
        <w:p w14:paraId="0EA2AC1C" w14:textId="50882923" w:rsidR="00A94BAC" w:rsidRDefault="00A94BAC">
          <w:pPr>
            <w:pStyle w:val="TOC1"/>
            <w:tabs>
              <w:tab w:val="left" w:pos="440"/>
              <w:tab w:val="right" w:leader="dot" w:pos="9016"/>
            </w:tabs>
            <w:rPr>
              <w:rFonts w:eastAsiaTheme="minorEastAsia"/>
              <w:noProof/>
              <w:kern w:val="2"/>
              <w:sz w:val="22"/>
              <w:szCs w:val="22"/>
              <w:lang w:eastAsia="en-AU"/>
              <w14:ligatures w14:val="standardContextual"/>
            </w:rPr>
          </w:pPr>
          <w:hyperlink w:anchor="_Toc150180127" w:history="1">
            <w:r w:rsidRPr="002B2638">
              <w:rPr>
                <w:rStyle w:val="Hyperlink"/>
                <w:noProof/>
              </w:rPr>
              <w:t>5.</w:t>
            </w:r>
            <w:r>
              <w:rPr>
                <w:rFonts w:eastAsiaTheme="minorEastAsia"/>
                <w:noProof/>
                <w:kern w:val="2"/>
                <w:sz w:val="22"/>
                <w:szCs w:val="22"/>
                <w:lang w:eastAsia="en-AU"/>
                <w14:ligatures w14:val="standardContextual"/>
              </w:rPr>
              <w:tab/>
            </w:r>
            <w:r w:rsidRPr="002B2638">
              <w:rPr>
                <w:rStyle w:val="Hyperlink"/>
                <w:noProof/>
              </w:rPr>
              <w:t>Prioritising accessible communities</w:t>
            </w:r>
            <w:r>
              <w:rPr>
                <w:noProof/>
                <w:webHidden/>
              </w:rPr>
              <w:tab/>
            </w:r>
            <w:r>
              <w:rPr>
                <w:noProof/>
                <w:webHidden/>
              </w:rPr>
              <w:fldChar w:fldCharType="begin"/>
            </w:r>
            <w:r>
              <w:rPr>
                <w:noProof/>
                <w:webHidden/>
              </w:rPr>
              <w:instrText xml:space="preserve"> PAGEREF _Toc150180127 \h </w:instrText>
            </w:r>
            <w:r>
              <w:rPr>
                <w:noProof/>
                <w:webHidden/>
              </w:rPr>
            </w:r>
            <w:r>
              <w:rPr>
                <w:noProof/>
                <w:webHidden/>
              </w:rPr>
              <w:fldChar w:fldCharType="separate"/>
            </w:r>
            <w:r w:rsidR="002047C4">
              <w:rPr>
                <w:noProof/>
                <w:webHidden/>
              </w:rPr>
              <w:t>37</w:t>
            </w:r>
            <w:r>
              <w:rPr>
                <w:noProof/>
                <w:webHidden/>
              </w:rPr>
              <w:fldChar w:fldCharType="end"/>
            </w:r>
          </w:hyperlink>
        </w:p>
        <w:p w14:paraId="11B17907" w14:textId="782FE53B"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28" w:history="1">
            <w:r w:rsidRPr="002B2638">
              <w:rPr>
                <w:rStyle w:val="Hyperlink"/>
                <w:noProof/>
              </w:rPr>
              <w:t>5.1.</w:t>
            </w:r>
            <w:r>
              <w:rPr>
                <w:rFonts w:eastAsiaTheme="minorEastAsia"/>
                <w:noProof/>
                <w:kern w:val="2"/>
                <w:sz w:val="22"/>
                <w:szCs w:val="22"/>
                <w:lang w:eastAsia="en-AU"/>
                <w14:ligatures w14:val="standardContextual"/>
              </w:rPr>
              <w:tab/>
            </w:r>
            <w:r w:rsidRPr="002B2638">
              <w:rPr>
                <w:rStyle w:val="Hyperlink"/>
                <w:noProof/>
              </w:rPr>
              <w:t>Planning for accessible communities</w:t>
            </w:r>
            <w:r>
              <w:rPr>
                <w:noProof/>
                <w:webHidden/>
              </w:rPr>
              <w:tab/>
            </w:r>
            <w:r>
              <w:rPr>
                <w:noProof/>
                <w:webHidden/>
              </w:rPr>
              <w:fldChar w:fldCharType="begin"/>
            </w:r>
            <w:r>
              <w:rPr>
                <w:noProof/>
                <w:webHidden/>
              </w:rPr>
              <w:instrText xml:space="preserve"> PAGEREF _Toc150180128 \h </w:instrText>
            </w:r>
            <w:r>
              <w:rPr>
                <w:noProof/>
                <w:webHidden/>
              </w:rPr>
            </w:r>
            <w:r>
              <w:rPr>
                <w:noProof/>
                <w:webHidden/>
              </w:rPr>
              <w:fldChar w:fldCharType="separate"/>
            </w:r>
            <w:r w:rsidR="002047C4">
              <w:rPr>
                <w:noProof/>
                <w:webHidden/>
              </w:rPr>
              <w:t>38</w:t>
            </w:r>
            <w:r>
              <w:rPr>
                <w:noProof/>
                <w:webHidden/>
              </w:rPr>
              <w:fldChar w:fldCharType="end"/>
            </w:r>
          </w:hyperlink>
        </w:p>
        <w:p w14:paraId="607CC6A0" w14:textId="418DEADC"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29" w:history="1">
            <w:r w:rsidRPr="002B2638">
              <w:rPr>
                <w:rStyle w:val="Hyperlink"/>
                <w:noProof/>
              </w:rPr>
              <w:t>5.2.</w:t>
            </w:r>
            <w:r>
              <w:rPr>
                <w:rFonts w:eastAsiaTheme="minorEastAsia"/>
                <w:noProof/>
                <w:kern w:val="2"/>
                <w:sz w:val="22"/>
                <w:szCs w:val="22"/>
                <w:lang w:eastAsia="en-AU"/>
                <w14:ligatures w14:val="standardContextual"/>
              </w:rPr>
              <w:tab/>
            </w:r>
            <w:r w:rsidRPr="002B2638">
              <w:rPr>
                <w:rStyle w:val="Hyperlink"/>
                <w:noProof/>
              </w:rPr>
              <w:t>Investing in community infrastructure that is accessible for all</w:t>
            </w:r>
            <w:r>
              <w:rPr>
                <w:noProof/>
                <w:webHidden/>
              </w:rPr>
              <w:tab/>
            </w:r>
            <w:r>
              <w:rPr>
                <w:noProof/>
                <w:webHidden/>
              </w:rPr>
              <w:fldChar w:fldCharType="begin"/>
            </w:r>
            <w:r>
              <w:rPr>
                <w:noProof/>
                <w:webHidden/>
              </w:rPr>
              <w:instrText xml:space="preserve"> PAGEREF _Toc150180129 \h </w:instrText>
            </w:r>
            <w:r>
              <w:rPr>
                <w:noProof/>
                <w:webHidden/>
              </w:rPr>
            </w:r>
            <w:r>
              <w:rPr>
                <w:noProof/>
                <w:webHidden/>
              </w:rPr>
              <w:fldChar w:fldCharType="separate"/>
            </w:r>
            <w:r w:rsidR="002047C4">
              <w:rPr>
                <w:noProof/>
                <w:webHidden/>
              </w:rPr>
              <w:t>39</w:t>
            </w:r>
            <w:r>
              <w:rPr>
                <w:noProof/>
                <w:webHidden/>
              </w:rPr>
              <w:fldChar w:fldCharType="end"/>
            </w:r>
          </w:hyperlink>
        </w:p>
        <w:p w14:paraId="2DDCD419" w14:textId="1CA1CA67" w:rsidR="00A94BAC" w:rsidRDefault="00A94BAC">
          <w:pPr>
            <w:pStyle w:val="TOC3"/>
            <w:tabs>
              <w:tab w:val="left" w:pos="1320"/>
              <w:tab w:val="right" w:leader="dot" w:pos="9016"/>
            </w:tabs>
            <w:rPr>
              <w:rFonts w:eastAsiaTheme="minorEastAsia"/>
              <w:noProof/>
              <w:kern w:val="2"/>
              <w:sz w:val="22"/>
              <w:szCs w:val="22"/>
              <w:lang w:eastAsia="en-AU"/>
              <w14:ligatures w14:val="standardContextual"/>
            </w:rPr>
          </w:pPr>
          <w:hyperlink w:anchor="_Toc150180130" w:history="1">
            <w:r w:rsidRPr="002B2638">
              <w:rPr>
                <w:rStyle w:val="Hyperlink"/>
                <w:noProof/>
              </w:rPr>
              <w:t>5.2.1.</w:t>
            </w:r>
            <w:r>
              <w:rPr>
                <w:rFonts w:eastAsiaTheme="minorEastAsia"/>
                <w:noProof/>
                <w:kern w:val="2"/>
                <w:sz w:val="22"/>
                <w:szCs w:val="22"/>
                <w:lang w:eastAsia="en-AU"/>
                <w14:ligatures w14:val="standardContextual"/>
              </w:rPr>
              <w:tab/>
            </w:r>
            <w:r w:rsidRPr="002B2638">
              <w:rPr>
                <w:rStyle w:val="Hyperlink"/>
                <w:noProof/>
              </w:rPr>
              <w:t>Transport infrastructure</w:t>
            </w:r>
            <w:r>
              <w:rPr>
                <w:noProof/>
                <w:webHidden/>
              </w:rPr>
              <w:tab/>
            </w:r>
            <w:r>
              <w:rPr>
                <w:noProof/>
                <w:webHidden/>
              </w:rPr>
              <w:fldChar w:fldCharType="begin"/>
            </w:r>
            <w:r>
              <w:rPr>
                <w:noProof/>
                <w:webHidden/>
              </w:rPr>
              <w:instrText xml:space="preserve"> PAGEREF _Toc150180130 \h </w:instrText>
            </w:r>
            <w:r>
              <w:rPr>
                <w:noProof/>
                <w:webHidden/>
              </w:rPr>
            </w:r>
            <w:r>
              <w:rPr>
                <w:noProof/>
                <w:webHidden/>
              </w:rPr>
              <w:fldChar w:fldCharType="separate"/>
            </w:r>
            <w:r w:rsidR="002047C4">
              <w:rPr>
                <w:noProof/>
                <w:webHidden/>
              </w:rPr>
              <w:t>40</w:t>
            </w:r>
            <w:r>
              <w:rPr>
                <w:noProof/>
                <w:webHidden/>
              </w:rPr>
              <w:fldChar w:fldCharType="end"/>
            </w:r>
          </w:hyperlink>
        </w:p>
        <w:p w14:paraId="0BC1931C" w14:textId="4515D16E" w:rsidR="00A94BAC" w:rsidRDefault="00A94BAC">
          <w:pPr>
            <w:pStyle w:val="TOC3"/>
            <w:tabs>
              <w:tab w:val="left" w:pos="1320"/>
              <w:tab w:val="right" w:leader="dot" w:pos="9016"/>
            </w:tabs>
            <w:rPr>
              <w:rFonts w:eastAsiaTheme="minorEastAsia"/>
              <w:noProof/>
              <w:kern w:val="2"/>
              <w:sz w:val="22"/>
              <w:szCs w:val="22"/>
              <w:lang w:eastAsia="en-AU"/>
              <w14:ligatures w14:val="standardContextual"/>
            </w:rPr>
          </w:pPr>
          <w:hyperlink w:anchor="_Toc150180131" w:history="1">
            <w:r w:rsidRPr="002B2638">
              <w:rPr>
                <w:rStyle w:val="Hyperlink"/>
                <w:noProof/>
              </w:rPr>
              <w:t>5.2.2.</w:t>
            </w:r>
            <w:r>
              <w:rPr>
                <w:rFonts w:eastAsiaTheme="minorEastAsia"/>
                <w:noProof/>
                <w:kern w:val="2"/>
                <w:sz w:val="22"/>
                <w:szCs w:val="22"/>
                <w:lang w:eastAsia="en-AU"/>
                <w14:ligatures w14:val="standardContextual"/>
              </w:rPr>
              <w:tab/>
            </w:r>
            <w:r w:rsidRPr="002B2638">
              <w:rPr>
                <w:rStyle w:val="Hyperlink"/>
                <w:noProof/>
              </w:rPr>
              <w:t>Education infrastructure</w:t>
            </w:r>
            <w:r>
              <w:rPr>
                <w:noProof/>
                <w:webHidden/>
              </w:rPr>
              <w:tab/>
            </w:r>
            <w:r>
              <w:rPr>
                <w:noProof/>
                <w:webHidden/>
              </w:rPr>
              <w:fldChar w:fldCharType="begin"/>
            </w:r>
            <w:r>
              <w:rPr>
                <w:noProof/>
                <w:webHidden/>
              </w:rPr>
              <w:instrText xml:space="preserve"> PAGEREF _Toc150180131 \h </w:instrText>
            </w:r>
            <w:r>
              <w:rPr>
                <w:noProof/>
                <w:webHidden/>
              </w:rPr>
            </w:r>
            <w:r>
              <w:rPr>
                <w:noProof/>
                <w:webHidden/>
              </w:rPr>
              <w:fldChar w:fldCharType="separate"/>
            </w:r>
            <w:r w:rsidR="002047C4">
              <w:rPr>
                <w:noProof/>
                <w:webHidden/>
              </w:rPr>
              <w:t>42</w:t>
            </w:r>
            <w:r>
              <w:rPr>
                <w:noProof/>
                <w:webHidden/>
              </w:rPr>
              <w:fldChar w:fldCharType="end"/>
            </w:r>
          </w:hyperlink>
        </w:p>
        <w:p w14:paraId="1C354C5A" w14:textId="1A9CE497" w:rsidR="00A94BAC" w:rsidRDefault="00A94BAC">
          <w:pPr>
            <w:pStyle w:val="TOC3"/>
            <w:tabs>
              <w:tab w:val="left" w:pos="1320"/>
              <w:tab w:val="right" w:leader="dot" w:pos="9016"/>
            </w:tabs>
            <w:rPr>
              <w:rFonts w:eastAsiaTheme="minorEastAsia"/>
              <w:noProof/>
              <w:kern w:val="2"/>
              <w:sz w:val="22"/>
              <w:szCs w:val="22"/>
              <w:lang w:eastAsia="en-AU"/>
              <w14:ligatures w14:val="standardContextual"/>
            </w:rPr>
          </w:pPr>
          <w:hyperlink w:anchor="_Toc150180132" w:history="1">
            <w:r w:rsidRPr="002B2638">
              <w:rPr>
                <w:rStyle w:val="Hyperlink"/>
                <w:noProof/>
              </w:rPr>
              <w:t>5.2.3.</w:t>
            </w:r>
            <w:r>
              <w:rPr>
                <w:rFonts w:eastAsiaTheme="minorEastAsia"/>
                <w:noProof/>
                <w:kern w:val="2"/>
                <w:sz w:val="22"/>
                <w:szCs w:val="22"/>
                <w:lang w:eastAsia="en-AU"/>
                <w14:ligatures w14:val="standardContextual"/>
              </w:rPr>
              <w:tab/>
            </w:r>
            <w:r w:rsidRPr="002B2638">
              <w:rPr>
                <w:rStyle w:val="Hyperlink"/>
                <w:noProof/>
              </w:rPr>
              <w:t>Health infrastructure</w:t>
            </w:r>
            <w:r>
              <w:rPr>
                <w:noProof/>
                <w:webHidden/>
              </w:rPr>
              <w:tab/>
            </w:r>
            <w:r>
              <w:rPr>
                <w:noProof/>
                <w:webHidden/>
              </w:rPr>
              <w:fldChar w:fldCharType="begin"/>
            </w:r>
            <w:r>
              <w:rPr>
                <w:noProof/>
                <w:webHidden/>
              </w:rPr>
              <w:instrText xml:space="preserve"> PAGEREF _Toc150180132 \h </w:instrText>
            </w:r>
            <w:r>
              <w:rPr>
                <w:noProof/>
                <w:webHidden/>
              </w:rPr>
            </w:r>
            <w:r>
              <w:rPr>
                <w:noProof/>
                <w:webHidden/>
              </w:rPr>
              <w:fldChar w:fldCharType="separate"/>
            </w:r>
            <w:r w:rsidR="002047C4">
              <w:rPr>
                <w:noProof/>
                <w:webHidden/>
              </w:rPr>
              <w:t>43</w:t>
            </w:r>
            <w:r>
              <w:rPr>
                <w:noProof/>
                <w:webHidden/>
              </w:rPr>
              <w:fldChar w:fldCharType="end"/>
            </w:r>
          </w:hyperlink>
        </w:p>
        <w:p w14:paraId="43BECE7E" w14:textId="0F67E2D3" w:rsidR="00A94BAC" w:rsidRDefault="00A94BAC">
          <w:pPr>
            <w:pStyle w:val="TOC3"/>
            <w:tabs>
              <w:tab w:val="left" w:pos="1320"/>
              <w:tab w:val="right" w:leader="dot" w:pos="9016"/>
            </w:tabs>
            <w:rPr>
              <w:rFonts w:eastAsiaTheme="minorEastAsia"/>
              <w:noProof/>
              <w:kern w:val="2"/>
              <w:sz w:val="22"/>
              <w:szCs w:val="22"/>
              <w:lang w:eastAsia="en-AU"/>
              <w14:ligatures w14:val="standardContextual"/>
            </w:rPr>
          </w:pPr>
          <w:hyperlink w:anchor="_Toc150180133" w:history="1">
            <w:r w:rsidRPr="002B2638">
              <w:rPr>
                <w:rStyle w:val="Hyperlink"/>
                <w:noProof/>
              </w:rPr>
              <w:t>5.2.4.</w:t>
            </w:r>
            <w:r>
              <w:rPr>
                <w:rFonts w:eastAsiaTheme="minorEastAsia"/>
                <w:noProof/>
                <w:kern w:val="2"/>
                <w:sz w:val="22"/>
                <w:szCs w:val="22"/>
                <w:lang w:eastAsia="en-AU"/>
                <w14:ligatures w14:val="standardContextual"/>
              </w:rPr>
              <w:tab/>
            </w:r>
            <w:r w:rsidRPr="002B2638">
              <w:rPr>
                <w:rStyle w:val="Hyperlink"/>
                <w:noProof/>
              </w:rPr>
              <w:t>Changing Places</w:t>
            </w:r>
            <w:r>
              <w:rPr>
                <w:noProof/>
                <w:webHidden/>
              </w:rPr>
              <w:tab/>
            </w:r>
            <w:r>
              <w:rPr>
                <w:noProof/>
                <w:webHidden/>
              </w:rPr>
              <w:fldChar w:fldCharType="begin"/>
            </w:r>
            <w:r>
              <w:rPr>
                <w:noProof/>
                <w:webHidden/>
              </w:rPr>
              <w:instrText xml:space="preserve"> PAGEREF _Toc150180133 \h </w:instrText>
            </w:r>
            <w:r>
              <w:rPr>
                <w:noProof/>
                <w:webHidden/>
              </w:rPr>
            </w:r>
            <w:r>
              <w:rPr>
                <w:noProof/>
                <w:webHidden/>
              </w:rPr>
              <w:fldChar w:fldCharType="separate"/>
            </w:r>
            <w:r w:rsidR="002047C4">
              <w:rPr>
                <w:noProof/>
                <w:webHidden/>
              </w:rPr>
              <w:t>44</w:t>
            </w:r>
            <w:r>
              <w:rPr>
                <w:noProof/>
                <w:webHidden/>
              </w:rPr>
              <w:fldChar w:fldCharType="end"/>
            </w:r>
          </w:hyperlink>
        </w:p>
        <w:p w14:paraId="0A04A1A7" w14:textId="76DEBE5D"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34" w:history="1">
            <w:r w:rsidRPr="002B2638">
              <w:rPr>
                <w:rStyle w:val="Hyperlink"/>
                <w:noProof/>
              </w:rPr>
              <w:t>5.3.</w:t>
            </w:r>
            <w:r>
              <w:rPr>
                <w:rFonts w:eastAsiaTheme="minorEastAsia"/>
                <w:noProof/>
                <w:kern w:val="2"/>
                <w:sz w:val="22"/>
                <w:szCs w:val="22"/>
                <w:lang w:eastAsia="en-AU"/>
                <w14:ligatures w14:val="standardContextual"/>
              </w:rPr>
              <w:tab/>
            </w:r>
            <w:r w:rsidRPr="002B2638">
              <w:rPr>
                <w:rStyle w:val="Hyperlink"/>
                <w:noProof/>
              </w:rPr>
              <w:t>Creating a public realm that includes everyone</w:t>
            </w:r>
            <w:r>
              <w:rPr>
                <w:noProof/>
                <w:webHidden/>
              </w:rPr>
              <w:tab/>
            </w:r>
            <w:r>
              <w:rPr>
                <w:noProof/>
                <w:webHidden/>
              </w:rPr>
              <w:fldChar w:fldCharType="begin"/>
            </w:r>
            <w:r>
              <w:rPr>
                <w:noProof/>
                <w:webHidden/>
              </w:rPr>
              <w:instrText xml:space="preserve"> PAGEREF _Toc150180134 \h </w:instrText>
            </w:r>
            <w:r>
              <w:rPr>
                <w:noProof/>
                <w:webHidden/>
              </w:rPr>
            </w:r>
            <w:r>
              <w:rPr>
                <w:noProof/>
                <w:webHidden/>
              </w:rPr>
              <w:fldChar w:fldCharType="separate"/>
            </w:r>
            <w:r w:rsidR="002047C4">
              <w:rPr>
                <w:noProof/>
                <w:webHidden/>
              </w:rPr>
              <w:t>45</w:t>
            </w:r>
            <w:r>
              <w:rPr>
                <w:noProof/>
                <w:webHidden/>
              </w:rPr>
              <w:fldChar w:fldCharType="end"/>
            </w:r>
          </w:hyperlink>
        </w:p>
        <w:p w14:paraId="6EBA2A07" w14:textId="7C204258"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35" w:history="1">
            <w:r w:rsidRPr="002B2638">
              <w:rPr>
                <w:rStyle w:val="Hyperlink"/>
                <w:noProof/>
              </w:rPr>
              <w:t>5.4.</w:t>
            </w:r>
            <w:r>
              <w:rPr>
                <w:rFonts w:eastAsiaTheme="minorEastAsia"/>
                <w:noProof/>
                <w:kern w:val="2"/>
                <w:sz w:val="22"/>
                <w:szCs w:val="22"/>
                <w:lang w:eastAsia="en-AU"/>
                <w14:ligatures w14:val="standardContextual"/>
              </w:rPr>
              <w:tab/>
            </w:r>
            <w:r w:rsidRPr="002B2638">
              <w:rPr>
                <w:rStyle w:val="Hyperlink"/>
                <w:noProof/>
              </w:rPr>
              <w:t>Making emergency infrastructure accessible</w:t>
            </w:r>
            <w:r>
              <w:rPr>
                <w:noProof/>
                <w:webHidden/>
              </w:rPr>
              <w:tab/>
            </w:r>
            <w:r>
              <w:rPr>
                <w:noProof/>
                <w:webHidden/>
              </w:rPr>
              <w:fldChar w:fldCharType="begin"/>
            </w:r>
            <w:r>
              <w:rPr>
                <w:noProof/>
                <w:webHidden/>
              </w:rPr>
              <w:instrText xml:space="preserve"> PAGEREF _Toc150180135 \h </w:instrText>
            </w:r>
            <w:r>
              <w:rPr>
                <w:noProof/>
                <w:webHidden/>
              </w:rPr>
            </w:r>
            <w:r>
              <w:rPr>
                <w:noProof/>
                <w:webHidden/>
              </w:rPr>
              <w:fldChar w:fldCharType="separate"/>
            </w:r>
            <w:r w:rsidR="002047C4">
              <w:rPr>
                <w:noProof/>
                <w:webHidden/>
              </w:rPr>
              <w:t>46</w:t>
            </w:r>
            <w:r>
              <w:rPr>
                <w:noProof/>
                <w:webHidden/>
              </w:rPr>
              <w:fldChar w:fldCharType="end"/>
            </w:r>
          </w:hyperlink>
        </w:p>
        <w:p w14:paraId="76EB4EBE" w14:textId="5A2C52A9" w:rsidR="00A94BAC" w:rsidRDefault="00A94BAC">
          <w:pPr>
            <w:pStyle w:val="TOC2"/>
            <w:tabs>
              <w:tab w:val="left" w:pos="880"/>
              <w:tab w:val="right" w:leader="dot" w:pos="9016"/>
            </w:tabs>
            <w:rPr>
              <w:rFonts w:eastAsiaTheme="minorEastAsia"/>
              <w:noProof/>
              <w:kern w:val="2"/>
              <w:sz w:val="22"/>
              <w:szCs w:val="22"/>
              <w:lang w:eastAsia="en-AU"/>
              <w14:ligatures w14:val="standardContextual"/>
            </w:rPr>
          </w:pPr>
          <w:hyperlink w:anchor="_Toc150180136" w:history="1">
            <w:r w:rsidRPr="002B2638">
              <w:rPr>
                <w:rStyle w:val="Hyperlink"/>
                <w:noProof/>
              </w:rPr>
              <w:t>5.5.</w:t>
            </w:r>
            <w:r>
              <w:rPr>
                <w:rFonts w:eastAsiaTheme="minorEastAsia"/>
                <w:noProof/>
                <w:kern w:val="2"/>
                <w:sz w:val="22"/>
                <w:szCs w:val="22"/>
                <w:lang w:eastAsia="en-AU"/>
                <w14:ligatures w14:val="standardContextual"/>
              </w:rPr>
              <w:tab/>
            </w:r>
            <w:r w:rsidRPr="002B2638">
              <w:rPr>
                <w:rStyle w:val="Hyperlink"/>
                <w:noProof/>
              </w:rPr>
              <w:t>Providing accurate information about accessibility</w:t>
            </w:r>
            <w:r>
              <w:rPr>
                <w:noProof/>
                <w:webHidden/>
              </w:rPr>
              <w:tab/>
            </w:r>
            <w:r>
              <w:rPr>
                <w:noProof/>
                <w:webHidden/>
              </w:rPr>
              <w:fldChar w:fldCharType="begin"/>
            </w:r>
            <w:r>
              <w:rPr>
                <w:noProof/>
                <w:webHidden/>
              </w:rPr>
              <w:instrText xml:space="preserve"> PAGEREF _Toc150180136 \h </w:instrText>
            </w:r>
            <w:r>
              <w:rPr>
                <w:noProof/>
                <w:webHidden/>
              </w:rPr>
            </w:r>
            <w:r>
              <w:rPr>
                <w:noProof/>
                <w:webHidden/>
              </w:rPr>
              <w:fldChar w:fldCharType="separate"/>
            </w:r>
            <w:r w:rsidR="002047C4">
              <w:rPr>
                <w:noProof/>
                <w:webHidden/>
              </w:rPr>
              <w:t>47</w:t>
            </w:r>
            <w:r>
              <w:rPr>
                <w:noProof/>
                <w:webHidden/>
              </w:rPr>
              <w:fldChar w:fldCharType="end"/>
            </w:r>
          </w:hyperlink>
        </w:p>
        <w:p w14:paraId="3C38C722" w14:textId="563D875D" w:rsidR="00A94BAC" w:rsidRDefault="00A94BAC">
          <w:pPr>
            <w:pStyle w:val="TOC1"/>
            <w:tabs>
              <w:tab w:val="left" w:pos="440"/>
              <w:tab w:val="right" w:leader="dot" w:pos="9016"/>
            </w:tabs>
            <w:rPr>
              <w:rFonts w:eastAsiaTheme="minorEastAsia"/>
              <w:noProof/>
              <w:kern w:val="2"/>
              <w:sz w:val="22"/>
              <w:szCs w:val="22"/>
              <w:lang w:eastAsia="en-AU"/>
              <w14:ligatures w14:val="standardContextual"/>
            </w:rPr>
          </w:pPr>
          <w:hyperlink w:anchor="_Toc150180137" w:history="1">
            <w:r w:rsidRPr="002B2638">
              <w:rPr>
                <w:rStyle w:val="Hyperlink"/>
                <w:noProof/>
              </w:rPr>
              <w:t>6.</w:t>
            </w:r>
            <w:r>
              <w:rPr>
                <w:rFonts w:eastAsiaTheme="minorEastAsia"/>
                <w:noProof/>
                <w:kern w:val="2"/>
                <w:sz w:val="22"/>
                <w:szCs w:val="22"/>
                <w:lang w:eastAsia="en-AU"/>
                <w14:ligatures w14:val="standardContextual"/>
              </w:rPr>
              <w:tab/>
            </w:r>
            <w:r w:rsidRPr="002B2638">
              <w:rPr>
                <w:rStyle w:val="Hyperlink"/>
                <w:noProof/>
              </w:rPr>
              <w:t>Conclusion</w:t>
            </w:r>
            <w:r>
              <w:rPr>
                <w:noProof/>
                <w:webHidden/>
              </w:rPr>
              <w:tab/>
            </w:r>
            <w:r>
              <w:rPr>
                <w:noProof/>
                <w:webHidden/>
              </w:rPr>
              <w:fldChar w:fldCharType="begin"/>
            </w:r>
            <w:r>
              <w:rPr>
                <w:noProof/>
                <w:webHidden/>
              </w:rPr>
              <w:instrText xml:space="preserve"> PAGEREF _Toc150180137 \h </w:instrText>
            </w:r>
            <w:r>
              <w:rPr>
                <w:noProof/>
                <w:webHidden/>
              </w:rPr>
            </w:r>
            <w:r>
              <w:rPr>
                <w:noProof/>
                <w:webHidden/>
              </w:rPr>
              <w:fldChar w:fldCharType="separate"/>
            </w:r>
            <w:r w:rsidR="002047C4">
              <w:rPr>
                <w:noProof/>
                <w:webHidden/>
              </w:rPr>
              <w:t>49</w:t>
            </w:r>
            <w:r>
              <w:rPr>
                <w:noProof/>
                <w:webHidden/>
              </w:rPr>
              <w:fldChar w:fldCharType="end"/>
            </w:r>
          </w:hyperlink>
        </w:p>
        <w:p w14:paraId="693C43C8" w14:textId="4C113461" w:rsidR="00A94BAC" w:rsidRDefault="00A94BAC">
          <w:pPr>
            <w:pStyle w:val="TOC1"/>
            <w:tabs>
              <w:tab w:val="left" w:pos="440"/>
              <w:tab w:val="right" w:leader="dot" w:pos="9016"/>
            </w:tabs>
            <w:rPr>
              <w:rFonts w:eastAsiaTheme="minorEastAsia"/>
              <w:noProof/>
              <w:kern w:val="2"/>
              <w:sz w:val="22"/>
              <w:szCs w:val="22"/>
              <w:lang w:eastAsia="en-AU"/>
              <w14:ligatures w14:val="standardContextual"/>
            </w:rPr>
          </w:pPr>
          <w:hyperlink w:anchor="_Toc150180138" w:history="1">
            <w:r w:rsidRPr="002B2638">
              <w:rPr>
                <w:rStyle w:val="Hyperlink"/>
                <w:noProof/>
              </w:rPr>
              <w:t>7.</w:t>
            </w:r>
            <w:r>
              <w:rPr>
                <w:rFonts w:eastAsiaTheme="minorEastAsia"/>
                <w:noProof/>
                <w:kern w:val="2"/>
                <w:sz w:val="22"/>
                <w:szCs w:val="22"/>
                <w:lang w:eastAsia="en-AU"/>
                <w14:ligatures w14:val="standardContextual"/>
              </w:rPr>
              <w:tab/>
            </w:r>
            <w:r w:rsidRPr="002B2638">
              <w:rPr>
                <w:rStyle w:val="Hyperlink"/>
                <w:noProof/>
              </w:rPr>
              <w:t>Appendix A – Draft Accessible Housing Overlay Code Amendment (SA Planning and Design Code)</w:t>
            </w:r>
            <w:r>
              <w:rPr>
                <w:noProof/>
                <w:webHidden/>
              </w:rPr>
              <w:tab/>
            </w:r>
            <w:r>
              <w:rPr>
                <w:noProof/>
                <w:webHidden/>
              </w:rPr>
              <w:fldChar w:fldCharType="begin"/>
            </w:r>
            <w:r>
              <w:rPr>
                <w:noProof/>
                <w:webHidden/>
              </w:rPr>
              <w:instrText xml:space="preserve"> PAGEREF _Toc150180138 \h </w:instrText>
            </w:r>
            <w:r>
              <w:rPr>
                <w:noProof/>
                <w:webHidden/>
              </w:rPr>
            </w:r>
            <w:r>
              <w:rPr>
                <w:noProof/>
                <w:webHidden/>
              </w:rPr>
              <w:fldChar w:fldCharType="separate"/>
            </w:r>
            <w:r w:rsidR="002047C4">
              <w:rPr>
                <w:noProof/>
                <w:webHidden/>
              </w:rPr>
              <w:t>50</w:t>
            </w:r>
            <w:r>
              <w:rPr>
                <w:noProof/>
                <w:webHidden/>
              </w:rPr>
              <w:fldChar w:fldCharType="end"/>
            </w:r>
          </w:hyperlink>
        </w:p>
        <w:p w14:paraId="2C4083E0" w14:textId="48014717" w:rsidR="00887EE3" w:rsidRPr="008B120B" w:rsidRDefault="00244C2B" w:rsidP="00916D7C">
          <w:pPr>
            <w:spacing w:after="160"/>
          </w:pPr>
          <w:r w:rsidRPr="008B120B">
            <w:rPr>
              <w:b/>
              <w:bCs/>
              <w:noProof/>
            </w:rPr>
            <w:fldChar w:fldCharType="end"/>
          </w:r>
        </w:p>
      </w:sdtContent>
    </w:sdt>
    <w:p w14:paraId="420FF8C6" w14:textId="77777777" w:rsidR="00C042A4" w:rsidRPr="008B120B" w:rsidRDefault="00C042A4" w:rsidP="00916D7C">
      <w:pPr>
        <w:spacing w:after="160"/>
        <w:rPr>
          <w:lang w:eastAsia="ja-JP"/>
        </w:rPr>
      </w:pPr>
    </w:p>
    <w:p w14:paraId="7969C6D5" w14:textId="68D1B6D3" w:rsidR="00555B04" w:rsidRPr="008B120B" w:rsidRDefault="00447E60" w:rsidP="00916D7C">
      <w:pPr>
        <w:pStyle w:val="Heading1"/>
        <w:spacing w:after="160" w:line="360" w:lineRule="auto"/>
      </w:pPr>
      <w:r>
        <w:br w:type="page"/>
      </w:r>
      <w:bookmarkStart w:id="1" w:name="_Toc150180109"/>
      <w:r w:rsidR="00555B04">
        <w:lastRenderedPageBreak/>
        <w:t>Summary</w:t>
      </w:r>
      <w:r w:rsidR="00C042A4">
        <w:t xml:space="preserve"> and recommendations</w:t>
      </w:r>
      <w:bookmarkEnd w:id="1"/>
    </w:p>
    <w:p w14:paraId="6E08074B" w14:textId="6FDB9625" w:rsidR="00916D7C" w:rsidRPr="00916D7C" w:rsidRDefault="000D5EC1" w:rsidP="00916D7C">
      <w:pPr>
        <w:spacing w:after="160"/>
        <w:rPr>
          <w:color w:val="000000" w:themeColor="text1"/>
        </w:rPr>
      </w:pPr>
      <w:r>
        <w:rPr>
          <w:color w:val="000000" w:themeColor="text1"/>
        </w:rPr>
        <w:t xml:space="preserve">The Greater Adelaide Regional Plan (GARP) is </w:t>
      </w:r>
      <w:r w:rsidR="006B60D4">
        <w:rPr>
          <w:color w:val="000000" w:themeColor="text1"/>
        </w:rPr>
        <w:t>an important opportunity to shape a future that ensures all people have access to an accessible, affordable, and safe place to call home situated within a community that is welcoming, inclusive, and accessible to everyone. Diversity is a great strength of our communities, and it is essential we take every possible step to ensure everyone can participate equally in the social, cultural, and economic life of our society. This cannot be taken for granted; it requires proactive planning and intentional action</w:t>
      </w:r>
      <w:r w:rsidR="00EC454C">
        <w:rPr>
          <w:color w:val="000000" w:themeColor="text1"/>
        </w:rPr>
        <w:t>s</w:t>
      </w:r>
      <w:r w:rsidR="006B60D4">
        <w:rPr>
          <w:color w:val="000000" w:themeColor="text1"/>
        </w:rPr>
        <w:t xml:space="preserve"> to ensure our neighbourhoods and communities are designed to maximise inclusion and opportunities for each person to take up active valued roles </w:t>
      </w:r>
      <w:r w:rsidR="000E4DC7">
        <w:rPr>
          <w:color w:val="000000" w:themeColor="text1"/>
        </w:rPr>
        <w:t xml:space="preserve">in </w:t>
      </w:r>
      <w:r w:rsidR="00EC454C">
        <w:rPr>
          <w:color w:val="000000" w:themeColor="text1"/>
        </w:rPr>
        <w:t xml:space="preserve">their </w:t>
      </w:r>
      <w:r w:rsidR="000E4DC7">
        <w:rPr>
          <w:color w:val="000000" w:themeColor="text1"/>
        </w:rPr>
        <w:t xml:space="preserve">community. The GARP must set outcomes and targets to increase the supply of accessible housing and to only invest in community infrastructure that is inclusive and accessible </w:t>
      </w:r>
      <w:r w:rsidR="00EC454C">
        <w:rPr>
          <w:color w:val="000000" w:themeColor="text1"/>
        </w:rPr>
        <w:t>for</w:t>
      </w:r>
      <w:r w:rsidR="000E4DC7">
        <w:rPr>
          <w:color w:val="000000" w:themeColor="text1"/>
        </w:rPr>
        <w:t xml:space="preserve"> everyone. The GARP should also identify existing gaps</w:t>
      </w:r>
      <w:r w:rsidR="00EC454C">
        <w:rPr>
          <w:color w:val="000000" w:themeColor="text1"/>
        </w:rPr>
        <w:t xml:space="preserve"> in outcomes </w:t>
      </w:r>
      <w:r w:rsidR="000E4DC7">
        <w:rPr>
          <w:color w:val="000000" w:themeColor="text1"/>
        </w:rPr>
        <w:t xml:space="preserve">and </w:t>
      </w:r>
      <w:r w:rsidR="00EC454C">
        <w:rPr>
          <w:color w:val="000000" w:themeColor="text1"/>
        </w:rPr>
        <w:t xml:space="preserve">commit to </w:t>
      </w:r>
      <w:r w:rsidR="000E4DC7">
        <w:rPr>
          <w:color w:val="000000" w:themeColor="text1"/>
        </w:rPr>
        <w:t xml:space="preserve">priority actions to overcome these. To ensure there is ongoing accountability for change, five-yearly independent evaluations should occur and be publicly reported. </w:t>
      </w:r>
    </w:p>
    <w:p w14:paraId="0F2970B2" w14:textId="6BB474D1" w:rsidR="00F73147" w:rsidRDefault="00D75098" w:rsidP="00EC454C">
      <w:pPr>
        <w:spacing w:after="160"/>
      </w:pPr>
      <w:r w:rsidRPr="008B120B">
        <w:t>We recommend</w:t>
      </w:r>
      <w:r w:rsidR="00EC454C">
        <w:t>:</w:t>
      </w:r>
    </w:p>
    <w:p w14:paraId="3E58B520" w14:textId="77777777" w:rsidR="006D5133" w:rsidRPr="00F13478" w:rsidRDefault="006D5133" w:rsidP="006D5133">
      <w:pPr>
        <w:spacing w:after="160"/>
        <w:rPr>
          <w:b/>
          <w:bCs/>
          <w:color w:val="000000" w:themeColor="text1"/>
        </w:rPr>
      </w:pPr>
      <w:r w:rsidRPr="00F13478">
        <w:rPr>
          <w:rStyle w:val="Heading4Char"/>
          <w:szCs w:val="24"/>
        </w:rPr>
        <w:t>Recommendation 1:</w:t>
      </w:r>
      <w:r w:rsidRPr="00F13478">
        <w:rPr>
          <w:b/>
        </w:rPr>
        <w:t xml:space="preserve"> </w:t>
      </w:r>
      <w:r w:rsidRPr="00F13478">
        <w:rPr>
          <w:b/>
          <w:bCs/>
          <w:color w:val="000000" w:themeColor="text1"/>
        </w:rPr>
        <w:t xml:space="preserve">The </w:t>
      </w:r>
      <w:r w:rsidRPr="00F13478">
        <w:rPr>
          <w:b/>
          <w:bCs/>
        </w:rPr>
        <w:t>Greater Adelaide Regional Plan</w:t>
      </w:r>
      <w:r w:rsidRPr="00F13478">
        <w:rPr>
          <w:b/>
          <w:bCs/>
          <w:color w:val="000000" w:themeColor="text1"/>
        </w:rPr>
        <w:t xml:space="preserve"> (GARP) should draw on the Model of Citizenhood Support in articulating a new vision for how the Greater Adelaide community grows and evolves over the next 30 years, and as a useful lens through which to grapple with the range of complex issues the plan must address.</w:t>
      </w:r>
    </w:p>
    <w:p w14:paraId="6C296137" w14:textId="77777777" w:rsidR="006D5133" w:rsidRPr="00F13478" w:rsidRDefault="006D5133" w:rsidP="006D5133">
      <w:pPr>
        <w:spacing w:after="160"/>
        <w:rPr>
          <w:b/>
          <w:bCs/>
          <w:color w:val="000000" w:themeColor="text1"/>
        </w:rPr>
      </w:pPr>
      <w:r w:rsidRPr="00F13478">
        <w:rPr>
          <w:rStyle w:val="Heading4Char"/>
          <w:szCs w:val="24"/>
        </w:rPr>
        <w:t>Recommendation 2:</w:t>
      </w:r>
      <w:r w:rsidRPr="00F13478">
        <w:rPr>
          <w:b/>
        </w:rPr>
        <w:t xml:space="preserve"> </w:t>
      </w:r>
      <w:r w:rsidRPr="00F13478">
        <w:rPr>
          <w:b/>
          <w:bCs/>
          <w:color w:val="000000" w:themeColor="text1"/>
        </w:rPr>
        <w:t xml:space="preserve">The </w:t>
      </w:r>
      <w:r w:rsidRPr="00F13478">
        <w:rPr>
          <w:b/>
          <w:bCs/>
        </w:rPr>
        <w:t>Greater Adelaide Regional Plan</w:t>
      </w:r>
      <w:r w:rsidRPr="00F13478">
        <w:rPr>
          <w:b/>
          <w:bCs/>
          <w:color w:val="000000" w:themeColor="text1"/>
        </w:rPr>
        <w:t xml:space="preserve"> (GARP) should identify existing unmet needs within the Greater Adelaide region and articulate targeted actions and investments to address these within the formulation of how the Greater Adelaide region should grow. A framework that identifies a set of priorities to fix existing gaps should be considered alongside generalised outcomes.</w:t>
      </w:r>
    </w:p>
    <w:p w14:paraId="0A837DF5" w14:textId="77777777" w:rsidR="006D5133" w:rsidRPr="00F13478" w:rsidRDefault="006D5133" w:rsidP="006D5133">
      <w:pPr>
        <w:spacing w:after="160"/>
        <w:rPr>
          <w:b/>
          <w:bCs/>
          <w:color w:val="000000" w:themeColor="text1"/>
        </w:rPr>
      </w:pPr>
      <w:r w:rsidRPr="00F13478">
        <w:rPr>
          <w:rStyle w:val="Heading4Char"/>
          <w:szCs w:val="24"/>
        </w:rPr>
        <w:t>Recommendation 3:</w:t>
      </w:r>
      <w:r w:rsidRPr="00F13478">
        <w:rPr>
          <w:b/>
        </w:rPr>
        <w:t xml:space="preserve"> </w:t>
      </w:r>
      <w:r w:rsidRPr="00F13478">
        <w:rPr>
          <w:b/>
          <w:bCs/>
          <w:color w:val="000000" w:themeColor="text1"/>
        </w:rPr>
        <w:t xml:space="preserve">The </w:t>
      </w:r>
      <w:r w:rsidRPr="00F13478">
        <w:rPr>
          <w:b/>
          <w:bCs/>
        </w:rPr>
        <w:t>Greater Adelaide Regional Plan</w:t>
      </w:r>
      <w:r w:rsidRPr="00F13478">
        <w:rPr>
          <w:b/>
          <w:bCs/>
          <w:color w:val="000000" w:themeColor="text1"/>
        </w:rPr>
        <w:t xml:space="preserve"> (GARP) should recognise people living with disability as valuable and equal members of Greater Adelaide region communities and reflect and promote the Social Model of Disability.</w:t>
      </w:r>
    </w:p>
    <w:p w14:paraId="7183E6F5" w14:textId="77777777" w:rsidR="006D5133" w:rsidRPr="00F13478" w:rsidRDefault="006D5133" w:rsidP="006D5133">
      <w:pPr>
        <w:spacing w:after="160"/>
        <w:rPr>
          <w:b/>
          <w:bCs/>
          <w:color w:val="000000" w:themeColor="text1"/>
        </w:rPr>
      </w:pPr>
      <w:r w:rsidRPr="00F13478">
        <w:rPr>
          <w:rStyle w:val="Heading4Char"/>
          <w:szCs w:val="24"/>
        </w:rPr>
        <w:t>Recommendation 4:</w:t>
      </w:r>
      <w:r w:rsidRPr="00F13478">
        <w:rPr>
          <w:b/>
        </w:rPr>
        <w:t xml:space="preserve"> </w:t>
      </w:r>
      <w:r w:rsidRPr="00F13478">
        <w:rPr>
          <w:b/>
          <w:bCs/>
          <w:color w:val="000000" w:themeColor="text1"/>
        </w:rPr>
        <w:t xml:space="preserve">The </w:t>
      </w:r>
      <w:r w:rsidRPr="00F13478">
        <w:rPr>
          <w:b/>
          <w:bCs/>
        </w:rPr>
        <w:t>Greater Adelaide Regional Plan</w:t>
      </w:r>
      <w:r w:rsidRPr="00F13478">
        <w:rPr>
          <w:b/>
          <w:bCs/>
          <w:color w:val="000000" w:themeColor="text1"/>
        </w:rPr>
        <w:t xml:space="preserve"> (GARP) should recognise Australia’s obligations under the United Nations Convention on the Rights of Persons with </w:t>
      </w:r>
      <w:r w:rsidRPr="00F13478">
        <w:rPr>
          <w:b/>
          <w:bCs/>
          <w:color w:val="000000" w:themeColor="text1"/>
        </w:rPr>
        <w:lastRenderedPageBreak/>
        <w:t xml:space="preserve">Disabilities (UNCRPD), among other human rights obligations, and ensure these rights are upheld and promoted. </w:t>
      </w:r>
    </w:p>
    <w:p w14:paraId="6C4045BA" w14:textId="77777777" w:rsidR="006D5133" w:rsidRPr="00F13478" w:rsidRDefault="006D5133" w:rsidP="006D5133">
      <w:pPr>
        <w:spacing w:after="160"/>
        <w:rPr>
          <w:b/>
          <w:bCs/>
        </w:rPr>
      </w:pPr>
      <w:r w:rsidRPr="00F13478">
        <w:rPr>
          <w:rStyle w:val="Heading4Char"/>
          <w:szCs w:val="24"/>
        </w:rPr>
        <w:t>Recommendation 5:</w:t>
      </w:r>
      <w:r w:rsidRPr="00F13478">
        <w:rPr>
          <w:b/>
        </w:rPr>
        <w:t xml:space="preserve"> </w:t>
      </w:r>
      <w:r w:rsidRPr="00F13478">
        <w:rPr>
          <w:b/>
          <w:bCs/>
          <w:color w:val="000000" w:themeColor="text1"/>
        </w:rPr>
        <w:t xml:space="preserve">The </w:t>
      </w:r>
      <w:r w:rsidRPr="00F13478">
        <w:rPr>
          <w:b/>
          <w:bCs/>
        </w:rPr>
        <w:t>Greater Adelaide Regional Plan</w:t>
      </w:r>
      <w:r w:rsidRPr="00F13478">
        <w:rPr>
          <w:b/>
          <w:bCs/>
          <w:color w:val="000000" w:themeColor="text1"/>
        </w:rPr>
        <w:t xml:space="preserve"> (GARP) should align with </w:t>
      </w:r>
      <w:r w:rsidRPr="00F13478">
        <w:rPr>
          <w:b/>
          <w:bCs/>
          <w:i/>
          <w:iCs/>
        </w:rPr>
        <w:t xml:space="preserve">Australia’s Disability Strategy 2021-2031 </w:t>
      </w:r>
      <w:r w:rsidRPr="00F13478">
        <w:rPr>
          <w:b/>
          <w:bCs/>
        </w:rPr>
        <w:t xml:space="preserve">and the South Australian State Disability Inclusion Plan, known as </w:t>
      </w:r>
      <w:r w:rsidRPr="00F13478">
        <w:rPr>
          <w:b/>
          <w:bCs/>
          <w:i/>
          <w:iCs/>
        </w:rPr>
        <w:t>Inclusive SA</w:t>
      </w:r>
      <w:r w:rsidRPr="00F13478">
        <w:rPr>
          <w:b/>
          <w:bCs/>
        </w:rPr>
        <w:t>, and work in a complementary manner to fulfil all the commitments therein.</w:t>
      </w:r>
    </w:p>
    <w:p w14:paraId="78BFF32B" w14:textId="77777777" w:rsidR="006D5133" w:rsidRPr="00F13478" w:rsidRDefault="006D5133" w:rsidP="006D5133">
      <w:pPr>
        <w:spacing w:after="160"/>
        <w:rPr>
          <w:b/>
          <w:bCs/>
          <w:color w:val="000000" w:themeColor="text1"/>
        </w:rPr>
      </w:pPr>
      <w:r w:rsidRPr="00F13478">
        <w:rPr>
          <w:rStyle w:val="Heading4Char"/>
          <w:szCs w:val="24"/>
        </w:rPr>
        <w:t>Recommendation 6:</w:t>
      </w:r>
      <w:r w:rsidRPr="00F13478">
        <w:rPr>
          <w:b/>
        </w:rPr>
        <w:t xml:space="preserve"> </w:t>
      </w:r>
      <w:r w:rsidRPr="00F13478">
        <w:rPr>
          <w:b/>
          <w:bCs/>
          <w:color w:val="000000" w:themeColor="text1"/>
        </w:rPr>
        <w:t xml:space="preserve">The </w:t>
      </w:r>
      <w:r w:rsidRPr="00F13478">
        <w:rPr>
          <w:b/>
          <w:bCs/>
        </w:rPr>
        <w:t>Greater Adelaide Regional Plan</w:t>
      </w:r>
      <w:r w:rsidRPr="00F13478">
        <w:rPr>
          <w:b/>
          <w:bCs/>
          <w:color w:val="000000" w:themeColor="text1"/>
        </w:rPr>
        <w:t xml:space="preserve"> (GARP) should identify gaps in processes and barriers for planning and implementation regarding how to ensure growth locations are inclusive of, and accessible to, all members of the Greater Adelaide region community. This should be central to the formulation of principles to guide where Greater Adelaide should grow. A framework that identifies a set of priorities to fix existing shortcomings should be considered alongside generalised outcomes.</w:t>
      </w:r>
    </w:p>
    <w:p w14:paraId="76E0A989" w14:textId="77777777" w:rsidR="006D5133" w:rsidRPr="00F13478" w:rsidRDefault="006D5133" w:rsidP="006D5133">
      <w:pPr>
        <w:spacing w:after="160"/>
        <w:jc w:val="both"/>
        <w:rPr>
          <w:b/>
          <w:bCs/>
          <w:color w:val="000000" w:themeColor="text1"/>
        </w:rPr>
      </w:pPr>
      <w:r w:rsidRPr="00F13478">
        <w:rPr>
          <w:rStyle w:val="Heading4Char"/>
          <w:szCs w:val="24"/>
        </w:rPr>
        <w:t>Recommendation 7:</w:t>
      </w:r>
      <w:r w:rsidRPr="00F13478">
        <w:rPr>
          <w:b/>
        </w:rPr>
        <w:t xml:space="preserve"> </w:t>
      </w:r>
      <w:r w:rsidRPr="00F13478">
        <w:rPr>
          <w:b/>
          <w:bCs/>
          <w:color w:val="000000" w:themeColor="text1"/>
        </w:rPr>
        <w:t xml:space="preserve">The State Planning Commission should ensure it undertakes a genuine co-design process to design and implement the Greater Adelaide Regional Plan (GARP). It should engage with a range of cohorts, including people living with disability, to ensure the plan reflects diverse needs and will be fit-for-purpose to ensure it delivers what communities need over the next 30 years. </w:t>
      </w:r>
    </w:p>
    <w:p w14:paraId="23D4E2C9" w14:textId="77777777" w:rsidR="006D5133" w:rsidRPr="00F13478" w:rsidRDefault="006D5133" w:rsidP="006D5133">
      <w:pPr>
        <w:spacing w:after="160"/>
        <w:rPr>
          <w:b/>
          <w:bCs/>
          <w:color w:val="000000" w:themeColor="text1"/>
        </w:rPr>
      </w:pPr>
      <w:r w:rsidRPr="00F13478">
        <w:rPr>
          <w:rStyle w:val="Heading4Char"/>
          <w:szCs w:val="24"/>
        </w:rPr>
        <w:t>Recommendation 8:</w:t>
      </w:r>
      <w:r w:rsidRPr="00F13478">
        <w:rPr>
          <w:b/>
        </w:rPr>
        <w:t xml:space="preserve"> </w:t>
      </w:r>
      <w:r w:rsidRPr="00F13478">
        <w:rPr>
          <w:b/>
          <w:bCs/>
          <w:color w:val="000000" w:themeColor="text1"/>
        </w:rPr>
        <w:t>The State Planning Commission should conduct further open public consultation on the draft Greater Adelaide Regional Plan (GARP) once it is formulated.</w:t>
      </w:r>
    </w:p>
    <w:p w14:paraId="390CEFCB" w14:textId="77777777" w:rsidR="006D5133" w:rsidRPr="00F13478" w:rsidRDefault="006D5133" w:rsidP="006D5133">
      <w:pPr>
        <w:spacing w:after="160"/>
      </w:pPr>
      <w:r w:rsidRPr="00F13478">
        <w:rPr>
          <w:rStyle w:val="Heading4Char"/>
          <w:szCs w:val="24"/>
        </w:rPr>
        <w:t>Recommendation 9:</w:t>
      </w:r>
      <w:r w:rsidRPr="00F13478">
        <w:rPr>
          <w:b/>
        </w:rPr>
        <w:t xml:space="preserve"> </w:t>
      </w:r>
      <w:r w:rsidRPr="00F13478">
        <w:rPr>
          <w:b/>
          <w:bCs/>
          <w:color w:val="000000" w:themeColor="text1"/>
        </w:rPr>
        <w:t xml:space="preserve">The </w:t>
      </w:r>
      <w:r w:rsidRPr="00F13478">
        <w:rPr>
          <w:b/>
          <w:bCs/>
        </w:rPr>
        <w:t>Greater Adelaide Regional Plan</w:t>
      </w:r>
      <w:r w:rsidRPr="00F13478">
        <w:rPr>
          <w:b/>
          <w:bCs/>
          <w:color w:val="000000" w:themeColor="text1"/>
        </w:rPr>
        <w:t xml:space="preserve"> (GARP) should set out meaningful, timebound, and measurable targets to ensure there is accountability for delivering on its commitments. An independent evaluation of progress toward outcomes should occur every five years with the results publicly reported.</w:t>
      </w:r>
    </w:p>
    <w:p w14:paraId="4058101E" w14:textId="77777777" w:rsidR="006D5133" w:rsidRPr="00F13478" w:rsidRDefault="006D5133" w:rsidP="006D5133">
      <w:pPr>
        <w:spacing w:after="160"/>
        <w:rPr>
          <w:b/>
          <w:bCs/>
        </w:rPr>
      </w:pPr>
      <w:r w:rsidRPr="00F13478">
        <w:rPr>
          <w:rStyle w:val="Heading4Char"/>
          <w:szCs w:val="24"/>
        </w:rPr>
        <w:t>Recommendation 10:</w:t>
      </w:r>
      <w:r w:rsidRPr="00F13478">
        <w:rPr>
          <w:b/>
        </w:rPr>
        <w:t xml:space="preserve"> </w:t>
      </w:r>
      <w:r w:rsidRPr="00F13478">
        <w:rPr>
          <w:b/>
          <w:bCs/>
        </w:rPr>
        <w:t xml:space="preserve">The </w:t>
      </w:r>
      <w:r w:rsidRPr="00F13478">
        <w:rPr>
          <w:rFonts w:cstheme="minorHAnsi"/>
          <w:b/>
          <w:bCs/>
        </w:rPr>
        <w:t>Greater Adelaide Regional Plan</w:t>
      </w:r>
      <w:r w:rsidRPr="00F13478">
        <w:rPr>
          <w:rFonts w:cstheme="minorHAnsi"/>
          <w:b/>
          <w:bCs/>
          <w:color w:val="000000" w:themeColor="text1"/>
        </w:rPr>
        <w:t xml:space="preserve"> (GARP) </w:t>
      </w:r>
      <w:r w:rsidRPr="00F13478">
        <w:rPr>
          <w:b/>
          <w:bCs/>
        </w:rPr>
        <w:t xml:space="preserve">should articulate a vision whereby all people have access to a place they can authentically call </w:t>
      </w:r>
      <w:r w:rsidRPr="00F13478">
        <w:rPr>
          <w:b/>
          <w:bCs/>
          <w:i/>
          <w:iCs/>
        </w:rPr>
        <w:t>home</w:t>
      </w:r>
      <w:r w:rsidRPr="00F13478">
        <w:rPr>
          <w:b/>
          <w:bCs/>
        </w:rPr>
        <w:t xml:space="preserve">. It should underscore that this principle applies equally to all people living with disability, not just non-disabled people. </w:t>
      </w:r>
    </w:p>
    <w:p w14:paraId="0D6F32C8" w14:textId="77777777" w:rsidR="006D5133" w:rsidRPr="00F13478" w:rsidRDefault="006D5133" w:rsidP="006D5133">
      <w:pPr>
        <w:spacing w:after="160"/>
        <w:rPr>
          <w:b/>
          <w:bCs/>
        </w:rPr>
      </w:pPr>
      <w:r w:rsidRPr="00F13478">
        <w:rPr>
          <w:rStyle w:val="Heading4Char"/>
          <w:szCs w:val="24"/>
        </w:rPr>
        <w:lastRenderedPageBreak/>
        <w:t>Recommendation 11:</w:t>
      </w:r>
      <w:r w:rsidRPr="00F13478">
        <w:rPr>
          <w:b/>
        </w:rPr>
        <w:t xml:space="preserve"> </w:t>
      </w:r>
      <w:r w:rsidRPr="00F13478">
        <w:rPr>
          <w:b/>
          <w:bCs/>
        </w:rPr>
        <w:t xml:space="preserve">The </w:t>
      </w:r>
      <w:r w:rsidRPr="00F13478">
        <w:rPr>
          <w:rFonts w:cstheme="minorHAnsi"/>
          <w:b/>
          <w:bCs/>
        </w:rPr>
        <w:t>Greater Adelaide Regional Plan</w:t>
      </w:r>
      <w:r w:rsidRPr="00F13478">
        <w:rPr>
          <w:rFonts w:cstheme="minorHAnsi"/>
          <w:b/>
          <w:bCs/>
          <w:color w:val="000000" w:themeColor="text1"/>
        </w:rPr>
        <w:t xml:space="preserve"> (GARP) </w:t>
      </w:r>
      <w:r w:rsidRPr="00F13478">
        <w:rPr>
          <w:b/>
          <w:bCs/>
        </w:rPr>
        <w:t>should include an outcome regarding housing choice for everyone and priority actions to address the existing absence of choice for many people living with disability.</w:t>
      </w:r>
    </w:p>
    <w:p w14:paraId="7DFBDB00" w14:textId="77777777" w:rsidR="006D5133" w:rsidRPr="00F13478" w:rsidRDefault="006D5133" w:rsidP="006D5133">
      <w:pPr>
        <w:spacing w:after="160"/>
        <w:rPr>
          <w:rFonts w:cstheme="minorHAnsi"/>
          <w:b/>
          <w:bCs/>
          <w:color w:val="000000" w:themeColor="text1"/>
        </w:rPr>
      </w:pPr>
      <w:r w:rsidRPr="00F13478">
        <w:rPr>
          <w:rStyle w:val="Heading4Char"/>
          <w:szCs w:val="24"/>
        </w:rPr>
        <w:t>Recommendation 12:</w:t>
      </w:r>
      <w:r w:rsidRPr="00F13478">
        <w:rPr>
          <w:rFonts w:cstheme="minorHAnsi"/>
          <w:b/>
        </w:rPr>
        <w:t xml:space="preserve"> </w:t>
      </w:r>
      <w:r w:rsidRPr="00F13478">
        <w:rPr>
          <w:rFonts w:cstheme="minorHAnsi"/>
          <w:b/>
          <w:bCs/>
          <w:color w:val="000000" w:themeColor="text1"/>
        </w:rPr>
        <w:t xml:space="preserve">The </w:t>
      </w:r>
      <w:r w:rsidRPr="00F13478">
        <w:rPr>
          <w:rFonts w:cstheme="minorHAnsi"/>
          <w:b/>
          <w:bCs/>
        </w:rPr>
        <w:t>Greater Adelaide Regional Plan</w:t>
      </w:r>
      <w:r w:rsidRPr="00F13478">
        <w:rPr>
          <w:rFonts w:cstheme="minorHAnsi"/>
          <w:b/>
          <w:bCs/>
          <w:color w:val="000000" w:themeColor="text1"/>
        </w:rPr>
        <w:t xml:space="preserve"> (GARP) should include an outcome and associated targets to increase the supply of accessible dwellings in the region, including for both private market and social housing.</w:t>
      </w:r>
    </w:p>
    <w:p w14:paraId="420D7F9E" w14:textId="77777777" w:rsidR="006D5133" w:rsidRPr="00F13478" w:rsidRDefault="006D5133" w:rsidP="006D5133">
      <w:pPr>
        <w:spacing w:after="160"/>
        <w:rPr>
          <w:rFonts w:cstheme="minorHAnsi"/>
          <w:b/>
          <w:bCs/>
          <w:color w:val="000000" w:themeColor="text1"/>
        </w:rPr>
      </w:pPr>
      <w:r w:rsidRPr="00F13478">
        <w:rPr>
          <w:rStyle w:val="Heading4Char"/>
          <w:szCs w:val="24"/>
        </w:rPr>
        <w:t>Recommendation 13:</w:t>
      </w:r>
      <w:r w:rsidRPr="00F13478">
        <w:rPr>
          <w:rFonts w:cstheme="minorHAnsi"/>
          <w:b/>
        </w:rPr>
        <w:t xml:space="preserve"> </w:t>
      </w:r>
      <w:r w:rsidRPr="00F13478">
        <w:rPr>
          <w:rFonts w:cstheme="minorHAnsi"/>
          <w:b/>
          <w:bCs/>
          <w:color w:val="000000" w:themeColor="text1"/>
        </w:rPr>
        <w:t xml:space="preserve">The </w:t>
      </w:r>
      <w:r w:rsidRPr="00F13478">
        <w:rPr>
          <w:rFonts w:cstheme="minorHAnsi"/>
          <w:b/>
          <w:bCs/>
        </w:rPr>
        <w:t>Greater Adelaide Regional Plan</w:t>
      </w:r>
      <w:r w:rsidRPr="00F13478">
        <w:rPr>
          <w:rFonts w:cstheme="minorHAnsi"/>
          <w:b/>
          <w:bCs/>
          <w:color w:val="000000" w:themeColor="text1"/>
        </w:rPr>
        <w:t xml:space="preserve"> (GARP) should include a target that measures the number of dwellings built that fully comply with the National Construction Code (NCC) 2022 </w:t>
      </w:r>
      <w:proofErr w:type="spellStart"/>
      <w:r w:rsidRPr="00F13478">
        <w:rPr>
          <w:rFonts w:cstheme="minorHAnsi"/>
          <w:b/>
          <w:bCs/>
          <w:color w:val="000000" w:themeColor="text1"/>
        </w:rPr>
        <w:t>Livable</w:t>
      </w:r>
      <w:proofErr w:type="spellEnd"/>
      <w:r w:rsidRPr="00F13478">
        <w:rPr>
          <w:rFonts w:cstheme="minorHAnsi"/>
          <w:b/>
          <w:bCs/>
          <w:color w:val="000000" w:themeColor="text1"/>
        </w:rPr>
        <w:t xml:space="preserve"> Housing Design (LHD) Standard, those that partially comply due to an exemption, or those that do not comply at all as a result of ‘blanket’ exemptions, including for both private market and social housing. This will enable better monitoring of supply, help identify any issues encountered in the implementation, and ensure the housing industry and governments are accountable for delivering genuine change.</w:t>
      </w:r>
    </w:p>
    <w:p w14:paraId="1AE5AA8A" w14:textId="77777777" w:rsidR="006D5133" w:rsidRPr="00F13478" w:rsidRDefault="006D5133" w:rsidP="006D5133">
      <w:pPr>
        <w:spacing w:after="160"/>
        <w:rPr>
          <w:rFonts w:cstheme="minorHAnsi"/>
          <w:b/>
          <w:bCs/>
          <w:color w:val="000000" w:themeColor="text1"/>
        </w:rPr>
      </w:pPr>
      <w:r w:rsidRPr="00F13478">
        <w:rPr>
          <w:rStyle w:val="Heading4Char"/>
          <w:szCs w:val="24"/>
        </w:rPr>
        <w:t>Recommendation 14:</w:t>
      </w:r>
      <w:r w:rsidRPr="00F13478">
        <w:rPr>
          <w:rFonts w:cstheme="minorHAnsi"/>
          <w:b/>
        </w:rPr>
        <w:t xml:space="preserve"> </w:t>
      </w:r>
      <w:r w:rsidRPr="00F13478">
        <w:rPr>
          <w:rFonts w:cstheme="minorHAnsi"/>
          <w:b/>
          <w:bCs/>
          <w:color w:val="000000" w:themeColor="text1"/>
        </w:rPr>
        <w:t xml:space="preserve">The </w:t>
      </w:r>
      <w:r w:rsidRPr="00F13478">
        <w:rPr>
          <w:rFonts w:cstheme="minorHAnsi"/>
          <w:b/>
          <w:bCs/>
        </w:rPr>
        <w:t>Greater Adelaide Regional Plan</w:t>
      </w:r>
      <w:r w:rsidRPr="00F13478">
        <w:rPr>
          <w:rFonts w:cstheme="minorHAnsi"/>
          <w:b/>
          <w:bCs/>
          <w:color w:val="000000" w:themeColor="text1"/>
        </w:rPr>
        <w:t xml:space="preserve"> (GARP) should include a target that all dwellings are built to high level accessibility standards within 20 years. To support this outcome, it should promote the benefits of accessibility and include a target to measure the number of dwellings built to levels of accessibility that exceed mandatory compliance, for both private market and social housing.</w:t>
      </w:r>
    </w:p>
    <w:p w14:paraId="77CC3750" w14:textId="77777777" w:rsidR="006D5133" w:rsidRPr="00F13478" w:rsidRDefault="006D5133" w:rsidP="006D5133">
      <w:pPr>
        <w:spacing w:after="160"/>
        <w:rPr>
          <w:rFonts w:cstheme="minorHAnsi"/>
          <w:b/>
          <w:bCs/>
          <w:color w:val="000000" w:themeColor="text1"/>
        </w:rPr>
      </w:pPr>
      <w:r w:rsidRPr="00F13478">
        <w:rPr>
          <w:rStyle w:val="Heading4Char"/>
          <w:szCs w:val="24"/>
        </w:rPr>
        <w:t>Recommendation 15:</w:t>
      </w:r>
      <w:r w:rsidRPr="00F13478">
        <w:rPr>
          <w:rFonts w:cstheme="minorHAnsi"/>
          <w:b/>
        </w:rPr>
        <w:t xml:space="preserve"> </w:t>
      </w:r>
      <w:r w:rsidRPr="00F13478">
        <w:rPr>
          <w:rFonts w:cstheme="minorHAnsi"/>
          <w:b/>
          <w:bCs/>
          <w:color w:val="000000" w:themeColor="text1"/>
        </w:rPr>
        <w:t xml:space="preserve">The </w:t>
      </w:r>
      <w:r w:rsidRPr="00F13478">
        <w:rPr>
          <w:rFonts w:cstheme="minorHAnsi"/>
          <w:b/>
          <w:bCs/>
        </w:rPr>
        <w:t>Greater Adelaide Regional Plan</w:t>
      </w:r>
      <w:r w:rsidRPr="00F13478">
        <w:rPr>
          <w:rFonts w:cstheme="minorHAnsi"/>
          <w:b/>
          <w:bCs/>
          <w:color w:val="000000" w:themeColor="text1"/>
        </w:rPr>
        <w:t xml:space="preserve"> (GARP) should commit the State Planning Commission to undertaking a Planning and Design Code Amendment to create an Accessible Housing Overlay as soon as possible (for example, see Appendix A).</w:t>
      </w:r>
    </w:p>
    <w:p w14:paraId="7072E754" w14:textId="77777777" w:rsidR="006D5133" w:rsidRPr="00F13478" w:rsidRDefault="006D5133" w:rsidP="006D5133">
      <w:pPr>
        <w:spacing w:after="160"/>
        <w:rPr>
          <w:rFonts w:cstheme="minorHAnsi"/>
          <w:b/>
          <w:bCs/>
          <w:color w:val="000000" w:themeColor="text1"/>
        </w:rPr>
      </w:pPr>
      <w:r w:rsidRPr="00F13478">
        <w:rPr>
          <w:rStyle w:val="Heading4Char"/>
          <w:szCs w:val="24"/>
        </w:rPr>
        <w:t>Recommendation 16:</w:t>
      </w:r>
      <w:r w:rsidRPr="00F13478">
        <w:rPr>
          <w:rFonts w:cstheme="minorHAnsi"/>
          <w:b/>
        </w:rPr>
        <w:t xml:space="preserve"> </w:t>
      </w:r>
      <w:r w:rsidRPr="00F13478">
        <w:rPr>
          <w:rFonts w:cstheme="minorHAnsi"/>
          <w:b/>
          <w:bCs/>
          <w:color w:val="000000" w:themeColor="text1"/>
        </w:rPr>
        <w:t xml:space="preserve">The </w:t>
      </w:r>
      <w:r w:rsidRPr="00F13478">
        <w:rPr>
          <w:rFonts w:cstheme="minorHAnsi"/>
          <w:b/>
          <w:bCs/>
        </w:rPr>
        <w:t>Greater Adelaide Regional Plan</w:t>
      </w:r>
      <w:r w:rsidRPr="00F13478">
        <w:rPr>
          <w:rFonts w:cstheme="minorHAnsi"/>
          <w:b/>
          <w:bCs/>
          <w:color w:val="000000" w:themeColor="text1"/>
        </w:rPr>
        <w:t xml:space="preserve"> (GARP) should commit the State Planning Commission to undertaking a review of all planning rules and regulations and how they impede the goal of increasing the supply of accessible </w:t>
      </w:r>
      <w:proofErr w:type="spellStart"/>
      <w:r w:rsidRPr="00F13478">
        <w:rPr>
          <w:rFonts w:cstheme="minorHAnsi"/>
          <w:b/>
          <w:bCs/>
          <w:color w:val="000000" w:themeColor="text1"/>
        </w:rPr>
        <w:t>livable</w:t>
      </w:r>
      <w:proofErr w:type="spellEnd"/>
      <w:r w:rsidRPr="00F13478">
        <w:rPr>
          <w:rFonts w:cstheme="minorHAnsi"/>
          <w:b/>
          <w:bCs/>
          <w:color w:val="000000" w:themeColor="text1"/>
        </w:rPr>
        <w:t xml:space="preserve"> housing in the Greater Adelaide region. </w:t>
      </w:r>
    </w:p>
    <w:p w14:paraId="032177AE" w14:textId="77777777" w:rsidR="006D5133" w:rsidRPr="00F13478" w:rsidRDefault="006D5133" w:rsidP="006D5133">
      <w:pPr>
        <w:spacing w:after="160"/>
      </w:pPr>
      <w:r w:rsidRPr="00F13478">
        <w:rPr>
          <w:rStyle w:val="Heading4Char"/>
          <w:rFonts w:ascii="Calibri" w:eastAsia="Calibri" w:hAnsi="Calibri" w:cs="Calibri"/>
          <w:bCs/>
          <w:szCs w:val="24"/>
        </w:rPr>
        <w:t>Recommendation 17:</w:t>
      </w:r>
      <w:r w:rsidRPr="00F13478">
        <w:rPr>
          <w:rFonts w:ascii="Calibri" w:eastAsia="Calibri" w:hAnsi="Calibri" w:cs="Calibri"/>
        </w:rPr>
        <w:t xml:space="preserve"> </w:t>
      </w:r>
      <w:r w:rsidRPr="00F13478">
        <w:rPr>
          <w:rFonts w:ascii="Calibri" w:eastAsia="Calibri" w:hAnsi="Calibri" w:cs="Calibri"/>
          <w:b/>
          <w:bCs/>
          <w:color w:val="000000" w:themeColor="text1"/>
        </w:rPr>
        <w:t xml:space="preserve">The Greater Adelaide Regional Plan (GARP) should clearly define the characteristics of the style of neighbourhoods it seeks to build and identify the key elements of planning, design, and construction that will produce this outcome. It should </w:t>
      </w:r>
      <w:r w:rsidRPr="00F13478">
        <w:rPr>
          <w:rFonts w:ascii="Calibri" w:eastAsia="Calibri" w:hAnsi="Calibri" w:cs="Calibri"/>
          <w:b/>
          <w:bCs/>
          <w:color w:val="000000" w:themeColor="text1"/>
        </w:rPr>
        <w:lastRenderedPageBreak/>
        <w:t>focus on how Greater Adelaide grows in ways that create and enhance inclusion, connectedness, neighbourliness, and a genuine sense of welcome.</w:t>
      </w:r>
    </w:p>
    <w:p w14:paraId="35F912EC" w14:textId="77777777" w:rsidR="006D5133" w:rsidRPr="00F13478" w:rsidRDefault="006D5133" w:rsidP="006D5133">
      <w:pPr>
        <w:spacing w:after="160"/>
        <w:rPr>
          <w:rFonts w:ascii="Calibri" w:eastAsia="Calibri" w:hAnsi="Calibri" w:cs="Calibri"/>
          <w:b/>
          <w:bCs/>
          <w:color w:val="000000" w:themeColor="text1"/>
        </w:rPr>
      </w:pPr>
      <w:r w:rsidRPr="00F13478">
        <w:rPr>
          <w:rStyle w:val="Heading4Char"/>
          <w:rFonts w:ascii="Calibri" w:eastAsia="Calibri" w:hAnsi="Calibri" w:cs="Calibri"/>
          <w:bCs/>
          <w:szCs w:val="24"/>
        </w:rPr>
        <w:t>Recommendation 18:</w:t>
      </w:r>
      <w:r w:rsidRPr="00F13478">
        <w:rPr>
          <w:rFonts w:ascii="Calibri" w:eastAsia="Calibri" w:hAnsi="Calibri" w:cs="Calibri"/>
        </w:rPr>
        <w:t xml:space="preserve"> </w:t>
      </w:r>
      <w:r w:rsidRPr="00F13478">
        <w:rPr>
          <w:rFonts w:ascii="Calibri" w:eastAsia="Calibri" w:hAnsi="Calibri" w:cs="Calibri"/>
          <w:b/>
          <w:bCs/>
          <w:color w:val="000000" w:themeColor="text1"/>
        </w:rPr>
        <w:t xml:space="preserve">The Greater Adelaide Regional Plan (GARP) should recognise the impact of negative attitudes, stigma, and stereotypes for people living with disability and include actions to breakdown these barriers, including by addressing the need to plan, design, and develop in ways that will facilitate interactions and connections between people in neighbourhoods. </w:t>
      </w:r>
    </w:p>
    <w:p w14:paraId="2F57B0DE" w14:textId="77777777" w:rsidR="006D5133" w:rsidRPr="00F13478" w:rsidRDefault="006D5133" w:rsidP="006D5133">
      <w:pPr>
        <w:spacing w:after="160"/>
      </w:pPr>
      <w:r w:rsidRPr="00F13478">
        <w:rPr>
          <w:rStyle w:val="Heading4Char"/>
          <w:rFonts w:ascii="Calibri" w:eastAsia="Calibri" w:hAnsi="Calibri" w:cs="Calibri"/>
          <w:bCs/>
          <w:szCs w:val="24"/>
        </w:rPr>
        <w:t>Recommendation 19:</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recognise and reinforce the important role neighbourhoods and communities that are planned, designed, and built for inclusion and connection can play in creating mutual natural safeguards between people, especially those experiencing isolation and disconnection.</w:t>
      </w:r>
    </w:p>
    <w:p w14:paraId="522909EB" w14:textId="77777777" w:rsidR="006D5133" w:rsidRPr="00F13478" w:rsidRDefault="006D5133" w:rsidP="006D5133">
      <w:pPr>
        <w:spacing w:after="160"/>
        <w:rPr>
          <w:rFonts w:ascii="Calibri" w:eastAsia="Calibri" w:hAnsi="Calibri" w:cs="Calibri"/>
          <w:b/>
          <w:bCs/>
          <w:color w:val="000000" w:themeColor="text1"/>
        </w:rPr>
      </w:pPr>
      <w:r w:rsidRPr="00F13478">
        <w:rPr>
          <w:rStyle w:val="Heading4Char"/>
          <w:rFonts w:ascii="Calibri" w:eastAsia="Calibri" w:hAnsi="Calibri" w:cs="Calibri"/>
          <w:bCs/>
          <w:szCs w:val="24"/>
        </w:rPr>
        <w:t>Recommendation 20:</w:t>
      </w:r>
      <w:r w:rsidRPr="00F13478">
        <w:rPr>
          <w:rFonts w:ascii="Calibri" w:eastAsia="Calibri" w:hAnsi="Calibri" w:cs="Calibri"/>
        </w:rPr>
        <w:t xml:space="preserve"> </w:t>
      </w:r>
      <w:r w:rsidRPr="00F13478">
        <w:rPr>
          <w:rFonts w:ascii="Calibri" w:eastAsia="Calibri" w:hAnsi="Calibri" w:cs="Calibri"/>
          <w:b/>
          <w:bCs/>
          <w:color w:val="000000" w:themeColor="text1"/>
        </w:rPr>
        <w:t xml:space="preserve">The Greater Adelaide Regional Plan (GARP) should include actions and outcomes regarding funding small seed grants or similar for local grassroots projects in support of inclusive connected neighbourhoods and communities. </w:t>
      </w:r>
    </w:p>
    <w:p w14:paraId="0B6E4AF9" w14:textId="77777777" w:rsidR="006D5133" w:rsidRPr="00F13478" w:rsidRDefault="006D5133" w:rsidP="006D5133">
      <w:pPr>
        <w:spacing w:after="160"/>
      </w:pPr>
      <w:r w:rsidRPr="00F13478">
        <w:rPr>
          <w:rStyle w:val="Heading4Char"/>
          <w:rFonts w:ascii="Calibri" w:eastAsia="Calibri" w:hAnsi="Calibri" w:cs="Calibri"/>
          <w:bCs/>
          <w:szCs w:val="24"/>
        </w:rPr>
        <w:t>Recommendation 21:</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elevate the essential role of community places and spaces in addition to land for houses and jobs. Community places and spaces should be part of every development plan and design for where Greater Adelaide should grow.</w:t>
      </w:r>
    </w:p>
    <w:p w14:paraId="213EFAB1" w14:textId="77777777" w:rsidR="006D5133" w:rsidRPr="00F13478" w:rsidRDefault="006D5133" w:rsidP="006D5133">
      <w:pPr>
        <w:spacing w:after="160"/>
        <w:rPr>
          <w:rFonts w:ascii="Calibri" w:eastAsia="Calibri" w:hAnsi="Calibri" w:cs="Calibri"/>
          <w:b/>
          <w:bCs/>
          <w:color w:val="000000" w:themeColor="text1"/>
        </w:rPr>
      </w:pPr>
      <w:r w:rsidRPr="00F13478">
        <w:rPr>
          <w:rStyle w:val="Heading4Char"/>
          <w:rFonts w:ascii="Calibri" w:eastAsia="Calibri" w:hAnsi="Calibri" w:cs="Calibri"/>
          <w:bCs/>
          <w:szCs w:val="24"/>
        </w:rPr>
        <w:t>Recommendation 22:</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emphasise the impact of every step of the planning process on final outcomes and ensure that planning for accessibility is a priority action under the plan.</w:t>
      </w:r>
    </w:p>
    <w:p w14:paraId="08240FAD" w14:textId="77777777" w:rsidR="006D5133" w:rsidRPr="00F13478" w:rsidRDefault="006D5133" w:rsidP="006D5133">
      <w:pPr>
        <w:spacing w:after="160"/>
        <w:rPr>
          <w:rFonts w:ascii="Calibri" w:eastAsia="Calibri" w:hAnsi="Calibri" w:cs="Calibri"/>
          <w:color w:val="000000" w:themeColor="text1"/>
        </w:rPr>
      </w:pPr>
      <w:r w:rsidRPr="00F13478">
        <w:rPr>
          <w:rStyle w:val="Heading4Char"/>
          <w:rFonts w:ascii="Calibri" w:eastAsia="Calibri" w:hAnsi="Calibri" w:cs="Calibri"/>
          <w:bCs/>
          <w:szCs w:val="24"/>
        </w:rPr>
        <w:t>Recommendation 23:</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include outcomes and measurable targets that ensure all investment is directed to community infrastructure that is genuinely accessible to, and inclusive of, everyone. It should explicitly rule out investment in segregated provisions in any form.</w:t>
      </w:r>
    </w:p>
    <w:p w14:paraId="6A7A1C3D" w14:textId="77777777" w:rsidR="006D5133" w:rsidRPr="00F13478" w:rsidRDefault="006D5133" w:rsidP="006D5133">
      <w:pPr>
        <w:spacing w:after="160"/>
        <w:jc w:val="both"/>
        <w:rPr>
          <w:rFonts w:eastAsiaTheme="minorEastAsia"/>
          <w:color w:val="000000" w:themeColor="text1"/>
        </w:rPr>
      </w:pPr>
      <w:r w:rsidRPr="00F13478">
        <w:rPr>
          <w:rStyle w:val="Heading4Char"/>
          <w:rFonts w:ascii="Calibri" w:eastAsia="Calibri" w:hAnsi="Calibri" w:cs="Calibri"/>
          <w:bCs/>
          <w:szCs w:val="24"/>
        </w:rPr>
        <w:t>Recommendation 24:</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include outcomes and measurable targets for the accessibility of public transport services and infrastructure across Greater Adelaide. It should also identify priority actions to fix existing gaps through a comprehensive audit that sets a baseline for progress.</w:t>
      </w:r>
    </w:p>
    <w:p w14:paraId="699A396F" w14:textId="77777777" w:rsidR="006D5133" w:rsidRPr="00F13478" w:rsidRDefault="006D5133" w:rsidP="006D5133">
      <w:pPr>
        <w:spacing w:after="160"/>
        <w:rPr>
          <w:rFonts w:ascii="Calibri" w:eastAsia="Calibri" w:hAnsi="Calibri" w:cs="Calibri"/>
          <w:b/>
          <w:bCs/>
          <w:color w:val="000000" w:themeColor="text1"/>
        </w:rPr>
      </w:pPr>
      <w:r w:rsidRPr="00F13478">
        <w:rPr>
          <w:rStyle w:val="Heading4Char"/>
          <w:rFonts w:ascii="Calibri" w:eastAsia="Calibri" w:hAnsi="Calibri" w:cs="Calibri"/>
          <w:bCs/>
          <w:szCs w:val="24"/>
        </w:rPr>
        <w:lastRenderedPageBreak/>
        <w:t>Recommendation 25:</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endorse the provision of Inclusive Education in all schools and specifically rule out the establishment of new segregated education provisions anywhere in the Greater Adelaide region effective immediately. This must preclude any new ‘special’ schools, units, programs, or similar.</w:t>
      </w:r>
    </w:p>
    <w:p w14:paraId="5C9A3907" w14:textId="77777777" w:rsidR="006D5133" w:rsidRPr="00F13478" w:rsidRDefault="006D5133" w:rsidP="006D5133">
      <w:pPr>
        <w:spacing w:after="160"/>
        <w:rPr>
          <w:rFonts w:ascii="Calibri" w:eastAsia="Calibri" w:hAnsi="Calibri" w:cs="Calibri"/>
          <w:b/>
          <w:bCs/>
          <w:color w:val="000000" w:themeColor="text1"/>
        </w:rPr>
      </w:pPr>
      <w:r w:rsidRPr="00F13478">
        <w:rPr>
          <w:rStyle w:val="Heading4Char"/>
          <w:rFonts w:ascii="Calibri" w:eastAsia="Calibri" w:hAnsi="Calibri" w:cs="Calibri"/>
          <w:szCs w:val="24"/>
        </w:rPr>
        <w:t>Recommendation 26:</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include outcomes and measurable targets for the accessibility of health infrastructure across Greater Adelaide.</w:t>
      </w:r>
    </w:p>
    <w:p w14:paraId="238ABC5A" w14:textId="77777777" w:rsidR="006D5133" w:rsidRPr="00F13478" w:rsidRDefault="006D5133" w:rsidP="006D5133">
      <w:pPr>
        <w:spacing w:after="160"/>
        <w:rPr>
          <w:rFonts w:ascii="Calibri" w:eastAsia="Calibri" w:hAnsi="Calibri" w:cs="Calibri"/>
          <w:b/>
          <w:bCs/>
          <w:color w:val="000000" w:themeColor="text1"/>
        </w:rPr>
      </w:pPr>
      <w:r w:rsidRPr="00F13478">
        <w:rPr>
          <w:rStyle w:val="Heading4Char"/>
          <w:rFonts w:ascii="Calibri" w:eastAsia="Calibri" w:hAnsi="Calibri" w:cs="Calibri"/>
          <w:bCs/>
          <w:szCs w:val="24"/>
        </w:rPr>
        <w:t>Recommendation 27:</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promote the roll out of Changing Places facilities and include a measure to track progress.</w:t>
      </w:r>
    </w:p>
    <w:p w14:paraId="1C68975F" w14:textId="77777777" w:rsidR="006D5133" w:rsidRPr="00F13478" w:rsidRDefault="006D5133" w:rsidP="006D5133">
      <w:pPr>
        <w:spacing w:after="160"/>
        <w:rPr>
          <w:rFonts w:ascii="Calibri" w:eastAsia="Calibri" w:hAnsi="Calibri" w:cs="Calibri"/>
        </w:rPr>
      </w:pPr>
      <w:r w:rsidRPr="00F13478">
        <w:rPr>
          <w:rStyle w:val="Heading4Char"/>
          <w:rFonts w:ascii="Calibri" w:eastAsia="Calibri" w:hAnsi="Calibri" w:cs="Calibri"/>
          <w:bCs/>
          <w:szCs w:val="24"/>
        </w:rPr>
        <w:t>Recommendation 28:</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adopt an expansive vision of the public realm and recognise the critical importance of making green spaces accessible to everyone.</w:t>
      </w:r>
    </w:p>
    <w:p w14:paraId="7383E6B5" w14:textId="77777777" w:rsidR="006D5133" w:rsidRPr="00F13478" w:rsidRDefault="006D5133" w:rsidP="006D5133">
      <w:pPr>
        <w:spacing w:after="160"/>
      </w:pPr>
      <w:r w:rsidRPr="00F13478">
        <w:rPr>
          <w:rStyle w:val="Heading4Char"/>
          <w:rFonts w:ascii="Calibri" w:eastAsia="Calibri" w:hAnsi="Calibri" w:cs="Calibri"/>
          <w:bCs/>
          <w:szCs w:val="24"/>
        </w:rPr>
        <w:t>Recommendation 29:</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make accessible emergency infrastructure, procedures, and information provision a top priority and include an outcome and targets to achieve this.</w:t>
      </w:r>
    </w:p>
    <w:p w14:paraId="2636ADBC" w14:textId="77777777" w:rsidR="006D5133" w:rsidRPr="00F13478" w:rsidRDefault="006D5133" w:rsidP="006D5133">
      <w:pPr>
        <w:spacing w:after="160"/>
      </w:pPr>
      <w:r w:rsidRPr="00F13478">
        <w:rPr>
          <w:rStyle w:val="Heading4Char"/>
          <w:rFonts w:ascii="Calibri" w:eastAsia="Calibri" w:hAnsi="Calibri" w:cs="Calibri"/>
          <w:bCs/>
          <w:szCs w:val="24"/>
        </w:rPr>
        <w:t>Recommendation 30:</w:t>
      </w:r>
      <w:r w:rsidRPr="00F13478">
        <w:rPr>
          <w:rFonts w:ascii="Calibri" w:eastAsia="Calibri" w:hAnsi="Calibri" w:cs="Calibri"/>
        </w:rPr>
        <w:t xml:space="preserve"> </w:t>
      </w:r>
      <w:r w:rsidRPr="00F13478">
        <w:rPr>
          <w:rFonts w:ascii="Calibri" w:eastAsia="Calibri" w:hAnsi="Calibri" w:cs="Calibri"/>
          <w:b/>
          <w:bCs/>
          <w:color w:val="000000" w:themeColor="text1"/>
        </w:rPr>
        <w:t>The Greater Adelaide Regional Plan (GARP) should commit to an action that requires the co-designing and implementation of a simple framework, definitions, and standards for the provision of information about the accessibility status of places and spaces that can be used by governments, businesses, organisations, and others to communicate clear consistent information to the public.</w:t>
      </w:r>
    </w:p>
    <w:p w14:paraId="1AB3C211" w14:textId="77777777" w:rsidR="006D5133" w:rsidRPr="00F13478" w:rsidRDefault="006D5133" w:rsidP="006D5133"/>
    <w:p w14:paraId="427D40F9" w14:textId="77777777" w:rsidR="00D75098" w:rsidRPr="008B120B" w:rsidRDefault="00D75098" w:rsidP="00916D7C">
      <w:pPr>
        <w:pStyle w:val="PlainText"/>
        <w:spacing w:after="160" w:line="360" w:lineRule="auto"/>
        <w:rPr>
          <w:sz w:val="24"/>
          <w:szCs w:val="24"/>
        </w:rPr>
      </w:pPr>
    </w:p>
    <w:p w14:paraId="5A327B88" w14:textId="77777777" w:rsidR="00D75098" w:rsidRPr="008B120B" w:rsidRDefault="00D75098" w:rsidP="00916D7C">
      <w:pPr>
        <w:pStyle w:val="PlainText"/>
        <w:spacing w:after="160" w:line="360" w:lineRule="auto"/>
        <w:rPr>
          <w:sz w:val="24"/>
          <w:szCs w:val="24"/>
        </w:rPr>
      </w:pPr>
    </w:p>
    <w:p w14:paraId="5DB9F08A" w14:textId="77777777" w:rsidR="00D75098" w:rsidRPr="008B120B" w:rsidRDefault="00D75098" w:rsidP="00916D7C">
      <w:pPr>
        <w:pStyle w:val="PlainText"/>
        <w:spacing w:after="160" w:line="360" w:lineRule="auto"/>
        <w:rPr>
          <w:sz w:val="24"/>
          <w:szCs w:val="24"/>
        </w:rPr>
      </w:pPr>
    </w:p>
    <w:p w14:paraId="414DB9B2" w14:textId="77777777" w:rsidR="00D75098" w:rsidRPr="008B120B" w:rsidRDefault="00D75098" w:rsidP="00916D7C">
      <w:pPr>
        <w:pStyle w:val="PlainText"/>
        <w:spacing w:after="160" w:line="360" w:lineRule="auto"/>
        <w:rPr>
          <w:sz w:val="24"/>
          <w:szCs w:val="24"/>
        </w:rPr>
      </w:pPr>
    </w:p>
    <w:p w14:paraId="5DD9BA27" w14:textId="77777777" w:rsidR="00D75098" w:rsidRPr="008B120B" w:rsidRDefault="00D75098" w:rsidP="00916D7C">
      <w:pPr>
        <w:pStyle w:val="PlainText"/>
        <w:spacing w:after="160" w:line="360" w:lineRule="auto"/>
        <w:rPr>
          <w:sz w:val="24"/>
          <w:szCs w:val="24"/>
        </w:rPr>
      </w:pPr>
    </w:p>
    <w:p w14:paraId="3B855B9B" w14:textId="77777777" w:rsidR="00A566E9" w:rsidRDefault="00A566E9">
      <w:pPr>
        <w:spacing w:after="200" w:line="276" w:lineRule="auto"/>
        <w:rPr>
          <w:rFonts w:cstheme="minorHAnsi"/>
          <w:b/>
          <w:color w:val="522E91"/>
          <w:sz w:val="32"/>
          <w:szCs w:val="32"/>
        </w:rPr>
      </w:pPr>
      <w:r>
        <w:br w:type="page"/>
      </w:r>
    </w:p>
    <w:p w14:paraId="44F7D438" w14:textId="26B2FC4A" w:rsidR="00427F6F" w:rsidRPr="008B120B" w:rsidRDefault="00670BBA" w:rsidP="008117EB">
      <w:pPr>
        <w:pStyle w:val="Heading1"/>
        <w:spacing w:after="160" w:line="360" w:lineRule="auto"/>
      </w:pPr>
      <w:bookmarkStart w:id="2" w:name="_Toc150180110"/>
      <w:r w:rsidRPr="008B120B">
        <w:lastRenderedPageBreak/>
        <w:t>Introduction</w:t>
      </w:r>
      <w:bookmarkEnd w:id="2"/>
    </w:p>
    <w:p w14:paraId="48E5BFDF" w14:textId="3BDDB62D" w:rsidR="002C1BAF" w:rsidRDefault="00101A2C" w:rsidP="008117EB">
      <w:pPr>
        <w:spacing w:after="160"/>
      </w:pPr>
      <w:r w:rsidRPr="009D167A">
        <w:t>JFA Purple Orange is grateful for the opportunity to provide this submission to</w:t>
      </w:r>
      <w:r>
        <w:t xml:space="preserve"> the </w:t>
      </w:r>
      <w:r w:rsidR="00BC489F">
        <w:t>State Planning Commission regarding the development of the Greater Adelaide Regional Plan (GARP).</w:t>
      </w:r>
    </w:p>
    <w:p w14:paraId="186025C0" w14:textId="7BA2695B" w:rsidR="0040330A" w:rsidRDefault="001022D6" w:rsidP="008117EB">
      <w:pPr>
        <w:spacing w:after="160"/>
      </w:pPr>
      <w:r>
        <w:t xml:space="preserve">We welcome </w:t>
      </w:r>
      <w:r w:rsidR="0040240E">
        <w:t xml:space="preserve">the </w:t>
      </w:r>
      <w:r w:rsidR="00921167">
        <w:t xml:space="preserve">opportunity to apply a </w:t>
      </w:r>
      <w:r w:rsidR="00B11C40">
        <w:t xml:space="preserve">long-term </w:t>
      </w:r>
      <w:r w:rsidR="00921167">
        <w:t>lens to</w:t>
      </w:r>
      <w:r w:rsidR="00B11C40">
        <w:t xml:space="preserve"> </w:t>
      </w:r>
      <w:r w:rsidR="00921167">
        <w:t>how</w:t>
      </w:r>
      <w:r w:rsidR="00B11C40">
        <w:t xml:space="preserve"> </w:t>
      </w:r>
      <w:r w:rsidR="00921167">
        <w:t xml:space="preserve">the </w:t>
      </w:r>
      <w:r w:rsidR="00B11C40">
        <w:t>Greater Adelaide</w:t>
      </w:r>
      <w:r w:rsidR="00921167">
        <w:t xml:space="preserve"> region</w:t>
      </w:r>
      <w:r w:rsidR="00B11C40">
        <w:t xml:space="preserve"> should</w:t>
      </w:r>
      <w:r w:rsidR="00921167">
        <w:t xml:space="preserve"> evolve to meet the needs of </w:t>
      </w:r>
      <w:r w:rsidR="00A52D6F">
        <w:t>its</w:t>
      </w:r>
      <w:r w:rsidR="00921167">
        <w:t xml:space="preserve"> growing and changing population</w:t>
      </w:r>
      <w:r w:rsidR="00A52D6F">
        <w:t xml:space="preserve"> over the next 30 years</w:t>
      </w:r>
      <w:r w:rsidR="00276D14">
        <w:t xml:space="preserve">. The </w:t>
      </w:r>
      <w:r w:rsidR="00580ABA">
        <w:t xml:space="preserve">recognition of the importance of planning </w:t>
      </w:r>
      <w:r w:rsidR="007F0DBE">
        <w:t xml:space="preserve">for the future to </w:t>
      </w:r>
      <w:r w:rsidR="00C44D0A">
        <w:t xml:space="preserve">better address the </w:t>
      </w:r>
      <w:proofErr w:type="gramStart"/>
      <w:r w:rsidR="00C44D0A">
        <w:t>myriad</w:t>
      </w:r>
      <w:proofErr w:type="gramEnd"/>
      <w:r w:rsidR="00C44D0A">
        <w:t xml:space="preserve"> of problems</w:t>
      </w:r>
      <w:r w:rsidR="00D943F5">
        <w:t xml:space="preserve"> </w:t>
      </w:r>
      <w:r w:rsidR="00A02334">
        <w:t>the region</w:t>
      </w:r>
      <w:r w:rsidR="00AE466B">
        <w:t xml:space="preserve"> face</w:t>
      </w:r>
      <w:r w:rsidR="00A02334">
        <w:t>s</w:t>
      </w:r>
      <w:r w:rsidR="00AE466B">
        <w:t xml:space="preserve"> </w:t>
      </w:r>
      <w:r w:rsidR="00C44D0A">
        <w:t>– from climate change to</w:t>
      </w:r>
      <w:r w:rsidR="00004D3E">
        <w:t xml:space="preserve"> the housing </w:t>
      </w:r>
      <w:r w:rsidR="000B0A34">
        <w:t>crisis</w:t>
      </w:r>
      <w:r w:rsidR="00004D3E">
        <w:t xml:space="preserve"> – is </w:t>
      </w:r>
      <w:r w:rsidR="002B1476">
        <w:t xml:space="preserve">fundamental </w:t>
      </w:r>
      <w:r w:rsidR="00F87CE1">
        <w:t xml:space="preserve">to </w:t>
      </w:r>
      <w:r w:rsidR="00A15214">
        <w:t>improving</w:t>
      </w:r>
      <w:r w:rsidR="00F87CE1">
        <w:t xml:space="preserve"> </w:t>
      </w:r>
      <w:r w:rsidR="002E47E2">
        <w:t>outcomes</w:t>
      </w:r>
      <w:r w:rsidR="00F87CE1">
        <w:t xml:space="preserve">. </w:t>
      </w:r>
      <w:r w:rsidR="00A15214">
        <w:t>Yet, w</w:t>
      </w:r>
      <w:r w:rsidR="00474228">
        <w:t xml:space="preserve">hile the consequences of many of these problems </w:t>
      </w:r>
      <w:r w:rsidR="00062EC4">
        <w:t>will be</w:t>
      </w:r>
      <w:r w:rsidR="00474228">
        <w:t xml:space="preserve"> felt across the </w:t>
      </w:r>
      <w:r w:rsidR="00EE659A">
        <w:t xml:space="preserve">whole </w:t>
      </w:r>
      <w:r w:rsidR="00474228">
        <w:t>population</w:t>
      </w:r>
      <w:r w:rsidR="00CD75E0">
        <w:t>,</w:t>
      </w:r>
      <w:r w:rsidR="00474228">
        <w:t xml:space="preserve"> it is </w:t>
      </w:r>
      <w:r w:rsidR="002E47E2">
        <w:t xml:space="preserve">essential </w:t>
      </w:r>
      <w:r w:rsidR="00B143E9">
        <w:t xml:space="preserve">the disproportionate impacts on </w:t>
      </w:r>
      <w:r w:rsidR="00E16720">
        <w:t xml:space="preserve">those with existing unmet needs </w:t>
      </w:r>
      <w:r w:rsidR="002D10C2">
        <w:t xml:space="preserve">and ongoing experiences of exclusion </w:t>
      </w:r>
      <w:r w:rsidR="00E16720">
        <w:t>be prioritised</w:t>
      </w:r>
      <w:r w:rsidR="003B7330">
        <w:t xml:space="preserve"> in the GARP</w:t>
      </w:r>
      <w:r w:rsidR="00361116">
        <w:t>.</w:t>
      </w:r>
    </w:p>
    <w:p w14:paraId="5B44256A" w14:textId="730B497F" w:rsidR="00DC2184" w:rsidRDefault="00DC2184" w:rsidP="008117EB">
      <w:pPr>
        <w:spacing w:after="160"/>
      </w:pPr>
      <w:r>
        <w:t>Many people living with disabilit</w:t>
      </w:r>
      <w:r w:rsidR="009A1F2B">
        <w:t xml:space="preserve">y </w:t>
      </w:r>
      <w:proofErr w:type="gramStart"/>
      <w:r w:rsidR="009A1F2B">
        <w:t>continue</w:t>
      </w:r>
      <w:proofErr w:type="gramEnd"/>
      <w:r w:rsidR="009A1F2B">
        <w:t xml:space="preserve"> to be excluded from full participation in community life in the Greater Adelaide region. There is a shortage of accessible housing</w:t>
      </w:r>
      <w:r w:rsidR="00B0184A">
        <w:t xml:space="preserve"> </w:t>
      </w:r>
      <w:r w:rsidR="00592DA5">
        <w:t>available,</w:t>
      </w:r>
      <w:r w:rsidR="00B0184A">
        <w:t xml:space="preserve"> and many are forced to live in shared arrangements</w:t>
      </w:r>
      <w:r w:rsidR="6E9B552C">
        <w:t>,</w:t>
      </w:r>
      <w:r w:rsidR="00B0184A">
        <w:t xml:space="preserve"> including in group houses</w:t>
      </w:r>
      <w:r w:rsidR="3159DEBE">
        <w:t>,</w:t>
      </w:r>
      <w:r w:rsidR="00637296">
        <w:rPr>
          <w:rStyle w:val="FootnoteReference"/>
        </w:rPr>
        <w:footnoteReference w:id="2"/>
      </w:r>
      <w:r w:rsidR="00B0184A">
        <w:t xml:space="preserve"> without </w:t>
      </w:r>
      <w:r w:rsidR="001F2F98">
        <w:t xml:space="preserve">choice of where they live, who they live with, or who enters the property. </w:t>
      </w:r>
      <w:r w:rsidR="008C45C6">
        <w:t xml:space="preserve">The </w:t>
      </w:r>
      <w:r w:rsidR="0075092F">
        <w:t xml:space="preserve">surrounding </w:t>
      </w:r>
      <w:r w:rsidR="008C45C6">
        <w:t xml:space="preserve">community amenities and social infrastructure </w:t>
      </w:r>
      <w:r w:rsidR="00161A78">
        <w:t>are</w:t>
      </w:r>
      <w:r w:rsidR="008C45C6">
        <w:t xml:space="preserve"> still inaccessible with poorly ma</w:t>
      </w:r>
      <w:r w:rsidR="00BE7BBD">
        <w:t>intained footpaths, steps</w:t>
      </w:r>
      <w:r w:rsidR="0097665E">
        <w:t>,</w:t>
      </w:r>
      <w:r w:rsidR="00BE7BBD">
        <w:t xml:space="preserve"> and other physical barriers, </w:t>
      </w:r>
      <w:r w:rsidR="0097665E">
        <w:t xml:space="preserve">preventing access to essential services and </w:t>
      </w:r>
      <w:r w:rsidR="009C003D">
        <w:t xml:space="preserve">opportunities for social participation. The experience of living </w:t>
      </w:r>
      <w:r w:rsidR="00361B5A">
        <w:t xml:space="preserve">in a neighbourhood is often characterised by exclusion, </w:t>
      </w:r>
      <w:r w:rsidR="00746852">
        <w:t>disconnection,</w:t>
      </w:r>
      <w:r w:rsidR="00361B5A">
        <w:t xml:space="preserve"> and isolation. </w:t>
      </w:r>
      <w:r w:rsidR="00504B7A">
        <w:t xml:space="preserve">Many of the experiences highlighted in the </w:t>
      </w:r>
      <w:r w:rsidR="00540C49">
        <w:t xml:space="preserve">2009 </w:t>
      </w:r>
      <w:r w:rsidR="00540C49">
        <w:rPr>
          <w:i/>
          <w:iCs/>
        </w:rPr>
        <w:t xml:space="preserve">Shut Out </w:t>
      </w:r>
      <w:r w:rsidR="00540C49">
        <w:t>report</w:t>
      </w:r>
      <w:r w:rsidR="00941A86">
        <w:t>, including in the excerpt below,</w:t>
      </w:r>
      <w:r w:rsidR="00540C49">
        <w:t xml:space="preserve"> are unchanged </w:t>
      </w:r>
      <w:r w:rsidR="00773698">
        <w:t>after</w:t>
      </w:r>
      <w:r w:rsidR="00540C49">
        <w:t xml:space="preserve"> </w:t>
      </w:r>
      <w:r w:rsidR="00C341DF">
        <w:t xml:space="preserve">years of unkept promises and </w:t>
      </w:r>
      <w:r w:rsidR="00773698">
        <w:t xml:space="preserve">a </w:t>
      </w:r>
      <w:r w:rsidR="00C341DF">
        <w:t>lack of investment in change</w:t>
      </w:r>
      <w:r w:rsidR="004A4EA2">
        <w:t>:</w:t>
      </w:r>
    </w:p>
    <w:p w14:paraId="2CFDB7C8" w14:textId="29991303" w:rsidR="004A4EA2" w:rsidRPr="000B77B5" w:rsidRDefault="00275B9B" w:rsidP="00275B9B">
      <w:pPr>
        <w:spacing w:after="160"/>
        <w:ind w:left="720" w:right="720"/>
      </w:pPr>
      <w:r w:rsidRPr="00275B9B">
        <w:rPr>
          <w:i/>
          <w:iCs/>
        </w:rPr>
        <w:t xml:space="preserve">People with disabilities may be present in the community but most do not enjoy full participation in it. Discrimination and exclusion are frustrating features of daily life. People in wheelchairs cannot access the public facilities taken for granted by others in the community, such as playgrounds, swimming pools, cinemas, restaurants, hotels and cafes. Children with </w:t>
      </w:r>
      <w:r w:rsidRPr="00275B9B">
        <w:rPr>
          <w:i/>
          <w:iCs/>
        </w:rPr>
        <w:lastRenderedPageBreak/>
        <w:t>disabilities find themselves excluded from local kindergartens and schools</w:t>
      </w:r>
      <w:r w:rsidR="0049497E">
        <w:rPr>
          <w:i/>
          <w:iCs/>
        </w:rPr>
        <w:t>..</w:t>
      </w:r>
      <w:r w:rsidRPr="00275B9B">
        <w:rPr>
          <w:i/>
          <w:iCs/>
        </w:rPr>
        <w:t>. People with mobility aids have difficulty regularly accessing public transport. People with various disabilities are unable to access the aids, equipment and technology essential to their daily functioning, and are unable to access the support required to get them out of bed in the morning</w:t>
      </w:r>
      <w:r w:rsidR="000C21FC">
        <w:rPr>
          <w:i/>
          <w:iCs/>
        </w:rPr>
        <w:t xml:space="preserve">… </w:t>
      </w:r>
      <w:r w:rsidRPr="00275B9B">
        <w:rPr>
          <w:i/>
          <w:iCs/>
        </w:rPr>
        <w:t>People with disabilities feel forgotten.</w:t>
      </w:r>
      <w:r w:rsidR="000B77B5">
        <w:rPr>
          <w:rStyle w:val="FootnoteReference"/>
          <w:i/>
          <w:iCs/>
        </w:rPr>
        <w:footnoteReference w:id="3"/>
      </w:r>
    </w:p>
    <w:p w14:paraId="39278EE9" w14:textId="7FC7A3DA" w:rsidR="00605893" w:rsidRDefault="00FB3E84" w:rsidP="008117EB">
      <w:pPr>
        <w:spacing w:after="160"/>
      </w:pPr>
      <w:r>
        <w:t>It is a sobering reality</w:t>
      </w:r>
      <w:r w:rsidR="00605893">
        <w:t xml:space="preserve">. </w:t>
      </w:r>
      <w:r w:rsidR="00A56BD6">
        <w:t>The task of driving change should not be left to people living with disability</w:t>
      </w:r>
      <w:r w:rsidR="1E77500D">
        <w:t>;</w:t>
      </w:r>
      <w:r w:rsidR="00A56BD6">
        <w:t xml:space="preserve"> it is everyone’s responsibility. The GARP must play its part</w:t>
      </w:r>
      <w:r w:rsidR="005C4600">
        <w:t xml:space="preserve"> in setting out an agenda for change </w:t>
      </w:r>
      <w:r w:rsidR="00A033B5">
        <w:t>and identify relevant</w:t>
      </w:r>
      <w:r w:rsidR="00F57F1E">
        <w:t xml:space="preserve"> </w:t>
      </w:r>
      <w:r w:rsidR="00A033B5">
        <w:t>targets that will ensure accountability</w:t>
      </w:r>
      <w:r w:rsidR="00F57F1E">
        <w:t xml:space="preserve"> for </w:t>
      </w:r>
      <w:r w:rsidR="003735B6">
        <w:t xml:space="preserve">delivering </w:t>
      </w:r>
      <w:r w:rsidR="00F57F1E">
        <w:t>results</w:t>
      </w:r>
      <w:r w:rsidR="00A56BD6">
        <w:t>.</w:t>
      </w:r>
    </w:p>
    <w:p w14:paraId="777709A7" w14:textId="72120906" w:rsidR="000656BC" w:rsidRDefault="0040330A" w:rsidP="008117EB">
      <w:pPr>
        <w:spacing w:after="160"/>
      </w:pPr>
      <w:r>
        <w:t xml:space="preserve">The Discussion Paper </w:t>
      </w:r>
      <w:r w:rsidR="00D10A49">
        <w:t xml:space="preserve">for this consultation </w:t>
      </w:r>
      <w:r>
        <w:t xml:space="preserve">focuses on two </w:t>
      </w:r>
      <w:r w:rsidR="008A38C3">
        <w:t>key</w:t>
      </w:r>
      <w:r>
        <w:t xml:space="preserve"> questions: </w:t>
      </w:r>
      <w:r w:rsidR="4FDCBB8E">
        <w:t>h</w:t>
      </w:r>
      <w:r w:rsidR="006001DD">
        <w:t xml:space="preserve">ow should Greater Adelaide grow and where should Greater Adelaide grow? </w:t>
      </w:r>
      <w:r w:rsidR="00DD1B34">
        <w:t xml:space="preserve">Later in this </w:t>
      </w:r>
      <w:r w:rsidR="000A1F2C">
        <w:t>i</w:t>
      </w:r>
      <w:r w:rsidR="00DD1B34">
        <w:t>ntroduction</w:t>
      </w:r>
      <w:r w:rsidR="004F10D0">
        <w:t xml:space="preserve">, we briefly </w:t>
      </w:r>
      <w:r w:rsidR="000A1F2C">
        <w:t>respond to the proposed</w:t>
      </w:r>
      <w:r w:rsidR="00760E79">
        <w:t xml:space="preserve"> </w:t>
      </w:r>
      <w:r w:rsidR="008A38C3">
        <w:t>outcomes</w:t>
      </w:r>
      <w:r w:rsidR="00B44EA4">
        <w:t xml:space="preserve"> for how Greater Adelaide grows</w:t>
      </w:r>
      <w:r w:rsidR="008A38C3">
        <w:t xml:space="preserve"> and </w:t>
      </w:r>
      <w:r w:rsidR="00D71412">
        <w:t xml:space="preserve">the </w:t>
      </w:r>
      <w:r w:rsidR="008A38C3">
        <w:t>principles</w:t>
      </w:r>
      <w:r w:rsidR="00B44EA4">
        <w:t xml:space="preserve"> to guide where this occurs</w:t>
      </w:r>
      <w:r w:rsidR="003C32DF">
        <w:t xml:space="preserve"> and highlight </w:t>
      </w:r>
      <w:r w:rsidR="002E6FC6">
        <w:t xml:space="preserve">the gaps that </w:t>
      </w:r>
      <w:r w:rsidR="003D73A5">
        <w:t xml:space="preserve">we believe need to be addressed. We also emphasise the importance of co-design, both in formulating the GARP and in </w:t>
      </w:r>
      <w:r w:rsidR="001B7029">
        <w:t xml:space="preserve">implementing it over the short, medium, and long term, as well as the </w:t>
      </w:r>
      <w:r w:rsidR="00910BF5">
        <w:t>crucial importance of tracking progress in line with clear interim milestones</w:t>
      </w:r>
      <w:r w:rsidR="00B44EA4">
        <w:t>.</w:t>
      </w:r>
    </w:p>
    <w:p w14:paraId="3B6CCC1A" w14:textId="1FC2B4A8" w:rsidR="00344B6D" w:rsidRDefault="000A1F2C" w:rsidP="008117EB">
      <w:pPr>
        <w:spacing w:after="160"/>
      </w:pPr>
      <w:r>
        <w:t>Then, i</w:t>
      </w:r>
      <w:r w:rsidR="000B4FA6">
        <w:t>n</w:t>
      </w:r>
      <w:r w:rsidR="004F10D0">
        <w:t xml:space="preserve"> the following </w:t>
      </w:r>
      <w:r w:rsidR="00DD1B34">
        <w:t xml:space="preserve">substantive </w:t>
      </w:r>
      <w:r w:rsidR="004F10D0">
        <w:t>parts of this</w:t>
      </w:r>
      <w:r w:rsidR="000B4FA6">
        <w:t xml:space="preserve"> submission, we</w:t>
      </w:r>
      <w:r>
        <w:t xml:space="preserve"> </w:t>
      </w:r>
      <w:r w:rsidR="00C4670C">
        <w:t xml:space="preserve">focus on three critical topics that are largely overlooked in the Discussion Paper </w:t>
      </w:r>
      <w:r w:rsidR="00D40446">
        <w:t xml:space="preserve">and its proposed outcomes and </w:t>
      </w:r>
      <w:r w:rsidR="003C1662">
        <w:t xml:space="preserve">guiding </w:t>
      </w:r>
      <w:r w:rsidR="00D40446">
        <w:t>principles:</w:t>
      </w:r>
      <w:r w:rsidR="007E2F37">
        <w:t xml:space="preserve"> delivering</w:t>
      </w:r>
      <w:r w:rsidR="00D40446">
        <w:t xml:space="preserve"> </w:t>
      </w:r>
      <w:r w:rsidR="002011A1">
        <w:t>housing outcomes that are acces</w:t>
      </w:r>
      <w:r w:rsidR="005977BF">
        <w:t>sible, affordable, and suitable for all members of the Greater Adelaide community</w:t>
      </w:r>
      <w:r w:rsidR="007E2F37">
        <w:t xml:space="preserve">; </w:t>
      </w:r>
      <w:r w:rsidR="0005224F">
        <w:t xml:space="preserve">creating inclusive welcoming neighbourhoods and communities for the benefit of all; and </w:t>
      </w:r>
      <w:r w:rsidR="007E2F37">
        <w:t>ensuring communities are accessible to everyone</w:t>
      </w:r>
      <w:r w:rsidR="00D10A49">
        <w:t>.</w:t>
      </w:r>
      <w:r w:rsidR="004F0CB0">
        <w:t xml:space="preserve"> </w:t>
      </w:r>
      <w:r w:rsidR="00AD2854">
        <w:t>The</w:t>
      </w:r>
      <w:r w:rsidR="005F61C7">
        <w:t xml:space="preserve"> recommendations provided throughout </w:t>
      </w:r>
      <w:r w:rsidR="002E4858">
        <w:t xml:space="preserve">this submission </w:t>
      </w:r>
      <w:r w:rsidR="005F61C7">
        <w:t xml:space="preserve">are designed to make a constructive contribution to </w:t>
      </w:r>
      <w:r w:rsidR="009E2CB5">
        <w:t>broadening the perspective</w:t>
      </w:r>
      <w:r w:rsidR="005E64D4">
        <w:t>s</w:t>
      </w:r>
      <w:r w:rsidR="009E2CB5">
        <w:t xml:space="preserve"> brought to </w:t>
      </w:r>
      <w:r w:rsidR="008F135B">
        <w:t>the analysis of issues to be addressed</w:t>
      </w:r>
      <w:r w:rsidR="005E64D4">
        <w:t xml:space="preserve"> in the GARP and </w:t>
      </w:r>
      <w:r w:rsidR="002C2709">
        <w:t xml:space="preserve">to thereby </w:t>
      </w:r>
      <w:r w:rsidR="005E64D4">
        <w:t>strengthen the resulting plan to ensure it is as comprehensive</w:t>
      </w:r>
      <w:r w:rsidR="00A16FC3">
        <w:t>, inclusive,</w:t>
      </w:r>
      <w:r w:rsidR="005E64D4">
        <w:t xml:space="preserve"> and </w:t>
      </w:r>
      <w:r w:rsidR="000656BC">
        <w:t>robust as possible.</w:t>
      </w:r>
    </w:p>
    <w:p w14:paraId="389F09B3" w14:textId="2F5C9F4C" w:rsidR="008B7C6D" w:rsidRDefault="00BC3A3C" w:rsidP="008117EB">
      <w:pPr>
        <w:spacing w:after="160"/>
      </w:pPr>
      <w:r>
        <w:lastRenderedPageBreak/>
        <w:t xml:space="preserve">Our organisation’s work is informed by a model called </w:t>
      </w:r>
      <w:r w:rsidRPr="00307948">
        <w:rPr>
          <w:i/>
          <w:iCs/>
        </w:rPr>
        <w:t>Citizenhood</w:t>
      </w:r>
      <w:r>
        <w:t xml:space="preserve">. We believe this model offers a valuable lens through which the </w:t>
      </w:r>
      <w:r w:rsidR="00727FDE">
        <w:t>Commission</w:t>
      </w:r>
      <w:r>
        <w:t xml:space="preserve"> can consider </w:t>
      </w:r>
      <w:r w:rsidR="00727FDE">
        <w:t xml:space="preserve">all aspects </w:t>
      </w:r>
      <w:r w:rsidR="00B509AA">
        <w:t xml:space="preserve">of the GARP to ensure </w:t>
      </w:r>
      <w:r w:rsidR="0084283C">
        <w:t xml:space="preserve">the </w:t>
      </w:r>
      <w:r w:rsidR="00916FB0">
        <w:t xml:space="preserve">resulting </w:t>
      </w:r>
      <w:r w:rsidR="00865F7C">
        <w:t>plan</w:t>
      </w:r>
      <w:r w:rsidR="00916FB0">
        <w:t xml:space="preserve"> offers the best prospects of shaping </w:t>
      </w:r>
      <w:r w:rsidR="007527E9">
        <w:t>an accessible, inclusive, sustainable, and prosperous future for the Greater Adelaide region</w:t>
      </w:r>
      <w:r>
        <w:t xml:space="preserve">. As such, the next section briefly introduces the </w:t>
      </w:r>
      <w:r w:rsidRPr="0013484A">
        <w:t>Model of Citizenhood Support</w:t>
      </w:r>
      <w:r>
        <w:t>.</w:t>
      </w:r>
      <w:r>
        <w:rPr>
          <w:rStyle w:val="FootnoteReference"/>
        </w:rPr>
        <w:footnoteReference w:id="4"/>
      </w:r>
      <w:r>
        <w:t xml:space="preserve"> We encourage the </w:t>
      </w:r>
      <w:r w:rsidR="00344B6D">
        <w:t>Commission</w:t>
      </w:r>
      <w:r>
        <w:t xml:space="preserve"> to access the full paper via our </w:t>
      </w:r>
      <w:hyperlink r:id="rId12">
        <w:r w:rsidRPr="5D18EE0C">
          <w:rPr>
            <w:rStyle w:val="Hyperlink"/>
          </w:rPr>
          <w:t>website</w:t>
        </w:r>
      </w:hyperlink>
      <w:r>
        <w:t>.</w:t>
      </w:r>
    </w:p>
    <w:p w14:paraId="3ED6CDB6" w14:textId="77777777" w:rsidR="002047C4" w:rsidRDefault="002047C4" w:rsidP="008117EB">
      <w:pPr>
        <w:spacing w:after="160"/>
      </w:pPr>
    </w:p>
    <w:p w14:paraId="121833BB" w14:textId="71D119FA" w:rsidR="008B7C6D" w:rsidRDefault="008B7C6D" w:rsidP="008117EB">
      <w:pPr>
        <w:pStyle w:val="Heading2"/>
        <w:spacing w:after="160" w:line="360" w:lineRule="auto"/>
      </w:pPr>
      <w:bookmarkStart w:id="3" w:name="_Toc150180111"/>
      <w:r>
        <w:t>Model of Citizenhood Support</w:t>
      </w:r>
      <w:bookmarkEnd w:id="3"/>
    </w:p>
    <w:p w14:paraId="71804F66" w14:textId="0751F575" w:rsidR="008B7C6D" w:rsidRDefault="00C74EB2" w:rsidP="008117EB">
      <w:pPr>
        <w:spacing w:after="160"/>
      </w:pPr>
      <w:r>
        <w:t xml:space="preserve">The nature of our communities </w:t>
      </w:r>
      <w:r w:rsidR="002F203E">
        <w:t xml:space="preserve">– from their design to their character to the atmosphere </w:t>
      </w:r>
      <w:r w:rsidR="00EE25BB">
        <w:t xml:space="preserve">created – has significant implications for how </w:t>
      </w:r>
      <w:r w:rsidR="00134ACE">
        <w:t>people live and the availability of life chances</w:t>
      </w:r>
      <w:r w:rsidR="00F71708">
        <w:t xml:space="preserve">. A good life for each person largely depends on the </w:t>
      </w:r>
      <w:r w:rsidR="001974C5">
        <w:t xml:space="preserve">assets and opportunities available within their community. </w:t>
      </w:r>
      <w:r w:rsidR="00855F57">
        <w:t xml:space="preserve">The Model of Citizenhood Support sets out a framework for how people can be supported to build their chances of a good life and maximise their </w:t>
      </w:r>
      <w:r w:rsidR="00855F57" w:rsidRPr="00306FF4">
        <w:rPr>
          <w:i/>
          <w:iCs/>
        </w:rPr>
        <w:t>Citizenhood</w:t>
      </w:r>
      <w:r w:rsidR="00855F57">
        <w:t>.</w:t>
      </w:r>
      <w:r w:rsidR="00E618B4">
        <w:t xml:space="preserve"> Secure </w:t>
      </w:r>
      <w:r w:rsidR="00555934">
        <w:t>appropriate</w:t>
      </w:r>
      <w:r w:rsidR="00E618B4">
        <w:t xml:space="preserve"> housing, </w:t>
      </w:r>
      <w:r w:rsidR="006842B4">
        <w:t>neighbourhoods that</w:t>
      </w:r>
      <w:r w:rsidR="00D67757">
        <w:t xml:space="preserve"> are inclusive and welcoming</w:t>
      </w:r>
      <w:r w:rsidR="0005224F">
        <w:t>, and fully accessible community and social infrastructure</w:t>
      </w:r>
      <w:r w:rsidR="00D67757">
        <w:t xml:space="preserve"> </w:t>
      </w:r>
      <w:r w:rsidR="000C07D8">
        <w:t xml:space="preserve">are fundamental to a person’s </w:t>
      </w:r>
      <w:r w:rsidR="003448E7">
        <w:t xml:space="preserve">chance of living a good ordinary life and </w:t>
      </w:r>
      <w:r w:rsidR="00CE6F38">
        <w:t>having meaningful valued roles in community life.</w:t>
      </w:r>
    </w:p>
    <w:p w14:paraId="35396CFB" w14:textId="01632BE3" w:rsidR="00CE6F38" w:rsidRDefault="00A6482A" w:rsidP="008117EB">
      <w:pPr>
        <w:spacing w:after="160"/>
        <w:rPr>
          <w:color w:val="000000" w:themeColor="text1"/>
        </w:rPr>
      </w:pPr>
      <w:r>
        <w:t>The Model provides a comprehensive contextual framework for organising policy and practice in support of people living with disability. Although it was developed with a focus on the life chances of people living with disability, it is also a highly relevant lens through which to approach policymaking regarding issues faced by other cohorts</w:t>
      </w:r>
      <w:r>
        <w:rPr>
          <w:color w:val="000000" w:themeColor="text1"/>
        </w:rPr>
        <w:t xml:space="preserve"> and, indeed, all aspects of </w:t>
      </w:r>
      <w:r w:rsidR="00B829FF">
        <w:rPr>
          <w:color w:val="000000" w:themeColor="text1"/>
        </w:rPr>
        <w:t>the GARP. Hence, we urge the Commission to consider how this Model can usefully support its work.</w:t>
      </w:r>
    </w:p>
    <w:p w14:paraId="052E613D" w14:textId="339DC061" w:rsidR="00A475D0" w:rsidRDefault="00A475D0" w:rsidP="00A475D0">
      <w:pPr>
        <w:spacing w:after="160"/>
        <w:jc w:val="both"/>
      </w:pPr>
      <w:r>
        <w:rPr>
          <w:color w:val="000000" w:themeColor="text1"/>
        </w:rPr>
        <w:t xml:space="preserve">The Model </w:t>
      </w:r>
      <w:r>
        <w:t>asserts that our life chances comprise four different, interrelated, types of assets we can call upon, termed the Four Capitals. These are: Personal Capital (how the person sees themself), Knowledge Capital (what the person knows and learns), Material Capital (money and the tangible things in our lives including a place to call home</w:t>
      </w:r>
      <w:r w:rsidR="00D57B7F">
        <w:t xml:space="preserve"> and access to community infrastructure</w:t>
      </w:r>
      <w:r>
        <w:t xml:space="preserve">), and Social Capital (having people in our lives whom we know and know us). </w:t>
      </w:r>
      <w:r>
        <w:lastRenderedPageBreak/>
        <w:t>These Capitals apply to any person and can reveal what types of investment and assistance might be helpful for someone to build a good life for themselves. It is worth noting that typically each of these assets is advanced when a person has access to safe, secure, accessible, affordable housing – and diminished significantly when a person experiences homelessness.</w:t>
      </w:r>
      <w:r w:rsidR="007A720C">
        <w:t xml:space="preserve"> Likewise, </w:t>
      </w:r>
      <w:r w:rsidR="00DF5957">
        <w:t xml:space="preserve">these assets are advanced by strong accessible communities that are inclusive and welcoming </w:t>
      </w:r>
      <w:r w:rsidR="00660D22">
        <w:t>of all their members.</w:t>
      </w:r>
    </w:p>
    <w:p w14:paraId="4B2D2379" w14:textId="5F551FB9" w:rsidR="00B829FF" w:rsidRDefault="00A475D0" w:rsidP="00A475D0">
      <w:pPr>
        <w:spacing w:after="160"/>
      </w:pPr>
      <w:r>
        <w:t xml:space="preserve">The concept of </w:t>
      </w:r>
      <w:r w:rsidRPr="00306FF4">
        <w:rPr>
          <w:i/>
          <w:iCs/>
        </w:rPr>
        <w:t>Citizenhood</w:t>
      </w:r>
      <w:r>
        <w:t xml:space="preserve"> is not to be confused with the concept of Citizenship, which is a much narrower static construct typically referring to membership of a country.</w:t>
      </w:r>
    </w:p>
    <w:p w14:paraId="00D62D8A" w14:textId="76544AF4" w:rsidR="00660D22" w:rsidRDefault="00073DE6" w:rsidP="00A475D0">
      <w:pPr>
        <w:spacing w:after="160"/>
      </w:pPr>
      <w:bookmarkStart w:id="4" w:name="_Hlk150179490"/>
      <w:r w:rsidRPr="002B2E02">
        <w:rPr>
          <w:rStyle w:val="Heading4Char"/>
          <w:szCs w:val="24"/>
        </w:rPr>
        <w:t xml:space="preserve">Recommendation </w:t>
      </w:r>
      <w:r>
        <w:rPr>
          <w:rStyle w:val="Heading4Char"/>
          <w:szCs w:val="24"/>
        </w:rPr>
        <w:t>1</w:t>
      </w:r>
      <w:r w:rsidRPr="002B2E02">
        <w:rPr>
          <w:rStyle w:val="Heading4Char"/>
          <w:szCs w:val="24"/>
        </w:rPr>
        <w:t>:</w:t>
      </w:r>
      <w:r w:rsidRPr="002B2E02">
        <w:rPr>
          <w:b/>
        </w:rPr>
        <w:t xml:space="preserve"> </w:t>
      </w:r>
      <w:r w:rsidRPr="002B2E02">
        <w:rPr>
          <w:b/>
          <w:bCs/>
          <w:color w:val="000000" w:themeColor="text1"/>
        </w:rPr>
        <w:t xml:space="preserve">The </w:t>
      </w:r>
      <w:r>
        <w:rPr>
          <w:b/>
          <w:bCs/>
        </w:rPr>
        <w:t xml:space="preserve">Greater Adelaide Regional </w:t>
      </w:r>
      <w:r w:rsidRPr="00B57D1E">
        <w:rPr>
          <w:b/>
          <w:bCs/>
        </w:rPr>
        <w:t>Plan</w:t>
      </w:r>
      <w:r w:rsidRPr="002B2E02">
        <w:rPr>
          <w:b/>
          <w:bCs/>
          <w:color w:val="000000" w:themeColor="text1"/>
        </w:rPr>
        <w:t xml:space="preserve"> </w:t>
      </w:r>
      <w:r w:rsidR="00973DF8">
        <w:rPr>
          <w:b/>
          <w:bCs/>
          <w:color w:val="000000" w:themeColor="text1"/>
        </w:rPr>
        <w:t xml:space="preserve">(GARP) </w:t>
      </w:r>
      <w:r w:rsidRPr="002B2E02">
        <w:rPr>
          <w:b/>
          <w:bCs/>
          <w:color w:val="000000" w:themeColor="text1"/>
        </w:rPr>
        <w:t xml:space="preserve">should draw on the Model of Citizenhood Support </w:t>
      </w:r>
      <w:r>
        <w:rPr>
          <w:b/>
          <w:bCs/>
          <w:color w:val="000000" w:themeColor="text1"/>
        </w:rPr>
        <w:t xml:space="preserve">in articulating a new vision for </w:t>
      </w:r>
      <w:r w:rsidR="00973DF8">
        <w:rPr>
          <w:b/>
          <w:bCs/>
          <w:color w:val="000000" w:themeColor="text1"/>
        </w:rPr>
        <w:t xml:space="preserve">how </w:t>
      </w:r>
      <w:r w:rsidR="00AD29FA">
        <w:rPr>
          <w:b/>
          <w:bCs/>
          <w:color w:val="000000" w:themeColor="text1"/>
        </w:rPr>
        <w:t xml:space="preserve">the </w:t>
      </w:r>
      <w:r w:rsidR="00B10C57">
        <w:rPr>
          <w:b/>
          <w:bCs/>
          <w:color w:val="000000" w:themeColor="text1"/>
        </w:rPr>
        <w:t xml:space="preserve">Greater Adelaide </w:t>
      </w:r>
      <w:r w:rsidR="00AD29FA">
        <w:rPr>
          <w:b/>
          <w:bCs/>
          <w:color w:val="000000" w:themeColor="text1"/>
        </w:rPr>
        <w:t xml:space="preserve">community grows </w:t>
      </w:r>
      <w:r w:rsidR="00B10C57">
        <w:rPr>
          <w:b/>
          <w:bCs/>
          <w:color w:val="000000" w:themeColor="text1"/>
        </w:rPr>
        <w:t xml:space="preserve">and evolves </w:t>
      </w:r>
      <w:r w:rsidR="00AD29FA">
        <w:rPr>
          <w:b/>
          <w:bCs/>
          <w:color w:val="000000" w:themeColor="text1"/>
        </w:rPr>
        <w:t>over the next 30 years</w:t>
      </w:r>
      <w:r w:rsidR="00DB77D5">
        <w:rPr>
          <w:b/>
          <w:bCs/>
          <w:color w:val="000000" w:themeColor="text1"/>
        </w:rPr>
        <w:t xml:space="preserve">, </w:t>
      </w:r>
      <w:r>
        <w:rPr>
          <w:b/>
          <w:bCs/>
          <w:color w:val="000000" w:themeColor="text1"/>
        </w:rPr>
        <w:t xml:space="preserve">and as </w:t>
      </w:r>
      <w:r w:rsidRPr="002B2E02">
        <w:rPr>
          <w:b/>
          <w:bCs/>
          <w:color w:val="000000" w:themeColor="text1"/>
        </w:rPr>
        <w:t xml:space="preserve">a useful lens through which to grapple with the range of </w:t>
      </w:r>
      <w:r w:rsidR="00AD29FA">
        <w:rPr>
          <w:b/>
          <w:bCs/>
          <w:color w:val="000000" w:themeColor="text1"/>
        </w:rPr>
        <w:t xml:space="preserve">complex issues </w:t>
      </w:r>
      <w:r w:rsidR="00DE24A7">
        <w:rPr>
          <w:b/>
          <w:bCs/>
          <w:color w:val="000000" w:themeColor="text1"/>
        </w:rPr>
        <w:t>the plan must address</w:t>
      </w:r>
      <w:r w:rsidRPr="002B2E02">
        <w:rPr>
          <w:b/>
          <w:bCs/>
          <w:color w:val="000000" w:themeColor="text1"/>
        </w:rPr>
        <w:t>.</w:t>
      </w:r>
      <w:bookmarkEnd w:id="4"/>
    </w:p>
    <w:p w14:paraId="61CC61FC" w14:textId="77777777" w:rsidR="00493F36" w:rsidRPr="008B120B" w:rsidRDefault="00493F36" w:rsidP="008117EB">
      <w:pPr>
        <w:spacing w:after="160"/>
      </w:pPr>
    </w:p>
    <w:p w14:paraId="30FEAD52" w14:textId="45F41A99" w:rsidR="002C1BAF" w:rsidRDefault="008635B0" w:rsidP="008117EB">
      <w:pPr>
        <w:pStyle w:val="Heading2"/>
        <w:spacing w:after="160" w:line="360" w:lineRule="auto"/>
      </w:pPr>
      <w:bookmarkStart w:id="5" w:name="_Toc150180112"/>
      <w:r>
        <w:t xml:space="preserve">Outcomes to guide how </w:t>
      </w:r>
      <w:r w:rsidR="00B320D3">
        <w:t xml:space="preserve">Greater </w:t>
      </w:r>
      <w:r>
        <w:t>Adelaide should grow</w:t>
      </w:r>
      <w:bookmarkEnd w:id="5"/>
    </w:p>
    <w:p w14:paraId="382A66B5" w14:textId="2E12072D" w:rsidR="008635B0" w:rsidRDefault="00A1509A" w:rsidP="008117EB">
      <w:pPr>
        <w:spacing w:after="160"/>
      </w:pPr>
      <w:r>
        <w:t>As noted above, the Discussion Paper raise</w:t>
      </w:r>
      <w:r w:rsidR="006F29EF">
        <w:t>s</w:t>
      </w:r>
      <w:r>
        <w:t xml:space="preserve"> two core questions. The first of these is how</w:t>
      </w:r>
      <w:r w:rsidR="00AC4735">
        <w:t xml:space="preserve"> should Greater Adelaide grow? The Discussion Paper proposes </w:t>
      </w:r>
      <w:r w:rsidR="0052223C">
        <w:t>the answer to this question be framed according to four</w:t>
      </w:r>
      <w:r w:rsidR="00DE0B49">
        <w:t xml:space="preserve"> desired outcomes to be achieved over the next 30 years</w:t>
      </w:r>
      <w:r w:rsidR="006F29EF">
        <w:t>. These are:</w:t>
      </w:r>
    </w:p>
    <w:p w14:paraId="28FB2720" w14:textId="77777777" w:rsidR="00387A75" w:rsidRDefault="00387A75" w:rsidP="00387A75">
      <w:pPr>
        <w:pStyle w:val="ListParagraph"/>
        <w:numPr>
          <w:ilvl w:val="0"/>
          <w:numId w:val="39"/>
        </w:numPr>
        <w:spacing w:after="160"/>
      </w:pPr>
      <w:r>
        <w:t>A greener, wilder and climate resilient environment</w:t>
      </w:r>
    </w:p>
    <w:p w14:paraId="4618BF15" w14:textId="235B3EF7" w:rsidR="00387A75" w:rsidRDefault="00387A75" w:rsidP="00387A75">
      <w:pPr>
        <w:pStyle w:val="ListParagraph"/>
        <w:numPr>
          <w:ilvl w:val="0"/>
          <w:numId w:val="39"/>
        </w:numPr>
        <w:spacing w:after="160"/>
      </w:pPr>
      <w:r>
        <w:t xml:space="preserve">A more equitable and </w:t>
      </w:r>
      <w:r w:rsidR="000D1182">
        <w:t>socially cohesive</w:t>
      </w:r>
      <w:r>
        <w:t xml:space="preserve"> place</w:t>
      </w:r>
    </w:p>
    <w:p w14:paraId="3E6754E8" w14:textId="77777777" w:rsidR="00387A75" w:rsidRDefault="00387A75" w:rsidP="00387A75">
      <w:pPr>
        <w:pStyle w:val="ListParagraph"/>
        <w:numPr>
          <w:ilvl w:val="0"/>
          <w:numId w:val="39"/>
        </w:numPr>
        <w:spacing w:after="160"/>
      </w:pPr>
      <w:r>
        <w:t>A strong economy built on a smarter, cleaner, regenerative future</w:t>
      </w:r>
    </w:p>
    <w:p w14:paraId="0BF29059" w14:textId="1D311EAD" w:rsidR="00DE0B49" w:rsidRDefault="00387A75" w:rsidP="00387A75">
      <w:pPr>
        <w:pStyle w:val="ListParagraph"/>
        <w:numPr>
          <w:ilvl w:val="0"/>
          <w:numId w:val="39"/>
        </w:numPr>
        <w:spacing w:after="160"/>
      </w:pPr>
      <w:r>
        <w:t>A greater choice of housing in the right places</w:t>
      </w:r>
    </w:p>
    <w:p w14:paraId="7B8406ED" w14:textId="54D84CD2" w:rsidR="006F29EF" w:rsidRDefault="000D1182" w:rsidP="008117EB">
      <w:pPr>
        <w:spacing w:after="160"/>
      </w:pPr>
      <w:r>
        <w:t xml:space="preserve">The themes identified in these statements </w:t>
      </w:r>
      <w:r w:rsidR="00927AF1">
        <w:t xml:space="preserve">are </w:t>
      </w:r>
      <w:r w:rsidR="009E5EF0">
        <w:t>important</w:t>
      </w:r>
      <w:r w:rsidR="00927AF1">
        <w:t xml:space="preserve"> although </w:t>
      </w:r>
      <w:r w:rsidR="008A1DAF">
        <w:t xml:space="preserve">open to </w:t>
      </w:r>
      <w:r w:rsidR="00C64121">
        <w:t xml:space="preserve">wide and </w:t>
      </w:r>
      <w:r w:rsidR="008A1DAF">
        <w:t>varied interpretation.</w:t>
      </w:r>
      <w:r w:rsidR="0040052C">
        <w:t xml:space="preserve"> </w:t>
      </w:r>
      <w:r w:rsidR="00BE25AA">
        <w:t>It seems fair to assume they identify where the intended emphasis lies</w:t>
      </w:r>
      <w:r w:rsidR="00576FE5">
        <w:t xml:space="preserve"> even if it cannot be said they do not encompass other important objectives</w:t>
      </w:r>
      <w:r w:rsidR="00DF0969">
        <w:t>, such as accessibility and inclusion.</w:t>
      </w:r>
      <w:r w:rsidR="008A1DAF">
        <w:t xml:space="preserve"> </w:t>
      </w:r>
      <w:r w:rsidR="00C64121">
        <w:t>Furthermore</w:t>
      </w:r>
      <w:r w:rsidR="004B3650">
        <w:t>, t</w:t>
      </w:r>
      <w:r w:rsidR="00BD1A36">
        <w:t xml:space="preserve">his conceptualisation </w:t>
      </w:r>
      <w:r w:rsidR="00C1051E">
        <w:t xml:space="preserve">of </w:t>
      </w:r>
      <w:r w:rsidR="00ED140C">
        <w:t xml:space="preserve">generalised </w:t>
      </w:r>
      <w:r w:rsidR="00C1051E">
        <w:t xml:space="preserve">outcomes </w:t>
      </w:r>
      <w:r w:rsidR="00BD1A36">
        <w:t xml:space="preserve">overlooks </w:t>
      </w:r>
      <w:r w:rsidR="00BC2858">
        <w:t xml:space="preserve">existing </w:t>
      </w:r>
      <w:r w:rsidR="001E2E0C">
        <w:t>unmet needs within the Greater Adelaide community</w:t>
      </w:r>
      <w:r w:rsidR="00677C52">
        <w:t>. Closing these gaps is likely to require</w:t>
      </w:r>
      <w:r w:rsidR="00683CF9">
        <w:t xml:space="preserve"> </w:t>
      </w:r>
      <w:r w:rsidR="00677C52">
        <w:t xml:space="preserve">targeted </w:t>
      </w:r>
      <w:r w:rsidR="00567109">
        <w:t>attention</w:t>
      </w:r>
      <w:r w:rsidR="00683CF9">
        <w:t xml:space="preserve"> and investment</w:t>
      </w:r>
      <w:r w:rsidR="00F15B4A">
        <w:t>, which</w:t>
      </w:r>
      <w:r w:rsidR="00683CF9">
        <w:t xml:space="preserve"> may be better framed </w:t>
      </w:r>
      <w:r w:rsidR="00567109">
        <w:t xml:space="preserve">in the GARP </w:t>
      </w:r>
      <w:r w:rsidR="00683CF9">
        <w:t>as priorities</w:t>
      </w:r>
      <w:r w:rsidR="00F15B4A">
        <w:t xml:space="preserve"> for </w:t>
      </w:r>
      <w:r w:rsidR="009A2E12">
        <w:t xml:space="preserve">targeted </w:t>
      </w:r>
      <w:r w:rsidR="00F15B4A">
        <w:t>action</w:t>
      </w:r>
      <w:r w:rsidR="009A2E12">
        <w:t>s</w:t>
      </w:r>
      <w:r w:rsidR="00D97E1B">
        <w:t xml:space="preserve"> </w:t>
      </w:r>
      <w:r w:rsidR="006D1284">
        <w:t>and investment</w:t>
      </w:r>
      <w:r w:rsidR="009A2E12">
        <w:t>s</w:t>
      </w:r>
      <w:r w:rsidR="006D1284">
        <w:t xml:space="preserve"> </w:t>
      </w:r>
      <w:r w:rsidR="00D97E1B">
        <w:t>in addition to generalised outcome</w:t>
      </w:r>
      <w:r w:rsidR="00AF2B67">
        <w:t xml:space="preserve"> area</w:t>
      </w:r>
      <w:r w:rsidR="00D97E1B">
        <w:t xml:space="preserve">s. </w:t>
      </w:r>
    </w:p>
    <w:p w14:paraId="310F5CDB" w14:textId="24125BAE" w:rsidR="00D97E1B" w:rsidRDefault="00062D17" w:rsidP="008117EB">
      <w:pPr>
        <w:spacing w:after="160"/>
      </w:pPr>
      <w:r>
        <w:lastRenderedPageBreak/>
        <w:t>People living with disability currently have extensive unmet needs</w:t>
      </w:r>
      <w:r w:rsidR="00D165A4">
        <w:t xml:space="preserve"> </w:t>
      </w:r>
      <w:r w:rsidR="00CE5639">
        <w:t xml:space="preserve">ranging from the </w:t>
      </w:r>
      <w:r w:rsidR="00D165A4">
        <w:t xml:space="preserve">shortage </w:t>
      </w:r>
      <w:r w:rsidR="00CE5639">
        <w:t>of</w:t>
      </w:r>
      <w:r w:rsidR="00D165A4">
        <w:t xml:space="preserve"> suitable </w:t>
      </w:r>
      <w:r w:rsidR="00863BCE">
        <w:t xml:space="preserve">housing </w:t>
      </w:r>
      <w:r w:rsidR="007070D3">
        <w:t>to</w:t>
      </w:r>
      <w:r w:rsidR="00863BCE">
        <w:t xml:space="preserve"> the inaccessibility of </w:t>
      </w:r>
      <w:r w:rsidR="00B15E60">
        <w:t>most</w:t>
      </w:r>
      <w:r w:rsidR="00D250D3">
        <w:t xml:space="preserve"> existing</w:t>
      </w:r>
      <w:r w:rsidR="00863BCE">
        <w:t xml:space="preserve"> community infrastructure</w:t>
      </w:r>
      <w:r w:rsidR="00F137F2">
        <w:t xml:space="preserve"> </w:t>
      </w:r>
      <w:r w:rsidR="00AF536F">
        <w:t>and</w:t>
      </w:r>
      <w:r w:rsidR="00F137F2">
        <w:t xml:space="preserve"> the</w:t>
      </w:r>
      <w:r w:rsidR="0086395A">
        <w:t>ir</w:t>
      </w:r>
      <w:r w:rsidR="00F137F2">
        <w:t xml:space="preserve"> </w:t>
      </w:r>
      <w:r w:rsidR="0086395A">
        <w:t>continued</w:t>
      </w:r>
      <w:r w:rsidR="00F137F2">
        <w:t xml:space="preserve"> exclusion</w:t>
      </w:r>
      <w:r w:rsidR="00AF536F">
        <w:t xml:space="preserve"> and </w:t>
      </w:r>
      <w:r w:rsidR="00F137F2">
        <w:t>segregation</w:t>
      </w:r>
      <w:r w:rsidR="00AF536F">
        <w:t xml:space="preserve"> f</w:t>
      </w:r>
      <w:r w:rsidR="0086395A">
        <w:t>rom community life</w:t>
      </w:r>
      <w:r w:rsidR="008A0CDD">
        <w:t>, which are</w:t>
      </w:r>
      <w:r w:rsidR="002C62A6">
        <w:t xml:space="preserve"> all</w:t>
      </w:r>
      <w:r w:rsidR="008A0CDD">
        <w:t xml:space="preserve"> largely abs</w:t>
      </w:r>
      <w:r w:rsidR="00CE78F5">
        <w:t>ent from the Discussion Paper</w:t>
      </w:r>
      <w:r w:rsidR="00863BCE">
        <w:t xml:space="preserve">. </w:t>
      </w:r>
      <w:r w:rsidR="006675C4">
        <w:t xml:space="preserve">We </w:t>
      </w:r>
      <w:r w:rsidR="00CE78F5">
        <w:t xml:space="preserve">delve into </w:t>
      </w:r>
      <w:r w:rsidR="00C52020">
        <w:t>each of these later in th</w:t>
      </w:r>
      <w:r w:rsidR="002C62A6">
        <w:t>is</w:t>
      </w:r>
      <w:r w:rsidR="00C52020">
        <w:t xml:space="preserve"> submission</w:t>
      </w:r>
      <w:r w:rsidR="007E483E">
        <w:t xml:space="preserve">. </w:t>
      </w:r>
      <w:r w:rsidR="00FD1748">
        <w:t xml:space="preserve">The Discussion Paper makes only one mention of </w:t>
      </w:r>
      <w:r w:rsidR="00017704">
        <w:t xml:space="preserve">‘disability’ despite </w:t>
      </w:r>
      <w:r w:rsidR="00360B8E">
        <w:t>people living with disability making up 19.4 per cent of the South Australian population.</w:t>
      </w:r>
      <w:r w:rsidR="00783D9A">
        <w:rPr>
          <w:rStyle w:val="FootnoteReference"/>
        </w:rPr>
        <w:footnoteReference w:id="5"/>
      </w:r>
      <w:r w:rsidR="00360B8E">
        <w:t xml:space="preserve"> </w:t>
      </w:r>
      <w:r w:rsidR="00783D9A">
        <w:t xml:space="preserve">This oversight is reflective of how the experiences of </w:t>
      </w:r>
      <w:r w:rsidR="00F06282">
        <w:t xml:space="preserve">people living with disability are often missed or disregarded </w:t>
      </w:r>
      <w:r w:rsidR="004434A3">
        <w:t xml:space="preserve">in planning for our communities. Unfortunately, the one mention of ‘disability’ that is </w:t>
      </w:r>
      <w:r w:rsidR="009141E3">
        <w:t xml:space="preserve">included in the Discussion Paper </w:t>
      </w:r>
      <w:r w:rsidR="00D3065E">
        <w:t>appears in relation to</w:t>
      </w:r>
      <w:r w:rsidR="008F4E93">
        <w:t xml:space="preserve"> </w:t>
      </w:r>
      <w:r w:rsidR="008514A5">
        <w:t xml:space="preserve">people living with disability </w:t>
      </w:r>
      <w:r w:rsidR="008F4E93">
        <w:t>being a group “</w:t>
      </w:r>
      <w:r w:rsidR="008F4E93" w:rsidRPr="008F4E93">
        <w:t>facing ‘deep and persistent’ disadvantage</w:t>
      </w:r>
      <w:r w:rsidR="007F5841">
        <w:t>,”</w:t>
      </w:r>
      <w:r w:rsidR="00FD51B1">
        <w:rPr>
          <w:rStyle w:val="FootnoteReference"/>
        </w:rPr>
        <w:footnoteReference w:id="6"/>
      </w:r>
      <w:r w:rsidR="007F5841">
        <w:t xml:space="preserve"> without providing any context</w:t>
      </w:r>
      <w:r w:rsidR="00442136">
        <w:t xml:space="preserve">, as if this </w:t>
      </w:r>
      <w:r w:rsidR="004F01EB">
        <w:t>can be taken as</w:t>
      </w:r>
      <w:r w:rsidR="00442136">
        <w:t xml:space="preserve"> a given</w:t>
      </w:r>
      <w:r w:rsidR="00BF449B">
        <w:t xml:space="preserve"> and applied to </w:t>
      </w:r>
      <w:r w:rsidR="00E37688">
        <w:t>every person living with disability</w:t>
      </w:r>
      <w:r w:rsidR="004F01EB">
        <w:t xml:space="preserve">. </w:t>
      </w:r>
    </w:p>
    <w:p w14:paraId="0E5EC8DB" w14:textId="6F65D5F5" w:rsidR="00624212" w:rsidRDefault="00624212" w:rsidP="008117EB">
      <w:pPr>
        <w:spacing w:after="160"/>
      </w:pPr>
      <w:r>
        <w:t xml:space="preserve">The Social Model of Disability </w:t>
      </w:r>
      <w:r w:rsidR="000C360C">
        <w:t xml:space="preserve">recognises that </w:t>
      </w:r>
      <w:r w:rsidR="00754547">
        <w:t xml:space="preserve">disability </w:t>
      </w:r>
      <w:r w:rsidR="00B23868">
        <w:t>results from the barriers</w:t>
      </w:r>
      <w:r w:rsidR="00A37B57">
        <w:t xml:space="preserve">, attitudes, and exclusion that people encounter </w:t>
      </w:r>
      <w:r w:rsidR="00EB6599">
        <w:t>as they navigate a society that has not be</w:t>
      </w:r>
      <w:r w:rsidR="00455EB4">
        <w:t>e</w:t>
      </w:r>
      <w:r w:rsidR="00EB6599">
        <w:t xml:space="preserve">n designed </w:t>
      </w:r>
      <w:r w:rsidR="00455EB4">
        <w:t xml:space="preserve">to include </w:t>
      </w:r>
      <w:r w:rsidR="00476BE2">
        <w:t xml:space="preserve">all its members. Importantly, </w:t>
      </w:r>
      <w:r w:rsidR="00F13BA2">
        <w:t>people are not disabled by an impairment or difference</w:t>
      </w:r>
      <w:r w:rsidR="00E63B10">
        <w:t xml:space="preserve">, but by the world around them. </w:t>
      </w:r>
      <w:r w:rsidR="00102A5F">
        <w:t xml:space="preserve">It is essential the GARP </w:t>
      </w:r>
      <w:r w:rsidR="0059524E">
        <w:t xml:space="preserve">reflects the Social Model of Disability and does not perpetuate outdated </w:t>
      </w:r>
      <w:r w:rsidR="000471D2">
        <w:t>medical</w:t>
      </w:r>
      <w:r w:rsidR="00453850">
        <w:t xml:space="preserve"> or charity approaches to disability that </w:t>
      </w:r>
      <w:r w:rsidR="00105F7B">
        <w:t xml:space="preserve">regard </w:t>
      </w:r>
      <w:r w:rsidR="00537214">
        <w:t xml:space="preserve">people as ‘problems’ to be fixed or </w:t>
      </w:r>
      <w:r w:rsidR="00B03706">
        <w:t>unable to live meaningful contributing lives</w:t>
      </w:r>
      <w:r w:rsidR="00DF388C">
        <w:t xml:space="preserve"> in communit</w:t>
      </w:r>
      <w:r w:rsidR="000C0E24">
        <w:t>ies</w:t>
      </w:r>
      <w:r w:rsidR="00DF388C">
        <w:t xml:space="preserve">. </w:t>
      </w:r>
      <w:r w:rsidR="00DF749C">
        <w:t xml:space="preserve">The process of deinstitutionalisation </w:t>
      </w:r>
      <w:r w:rsidR="002014C0">
        <w:t>is still ongoing in Australia and the same is true in the Greater Adelaide region</w:t>
      </w:r>
      <w:r w:rsidR="005F7002">
        <w:t xml:space="preserve"> where many people are still subject to </w:t>
      </w:r>
      <w:r w:rsidR="00C65000">
        <w:t xml:space="preserve">segregation, </w:t>
      </w:r>
      <w:r w:rsidR="005F7002">
        <w:t xml:space="preserve">exclusion, and </w:t>
      </w:r>
      <w:r w:rsidR="00C65000">
        <w:t>discrimination in all facets of life</w:t>
      </w:r>
      <w:r w:rsidR="00EE5023">
        <w:t xml:space="preserve"> including housing, education, and employment</w:t>
      </w:r>
      <w:r w:rsidR="005F7002">
        <w:t xml:space="preserve">. It is </w:t>
      </w:r>
      <w:r w:rsidR="00C65000">
        <w:t xml:space="preserve">critically important </w:t>
      </w:r>
      <w:r w:rsidR="00F45DDB">
        <w:t xml:space="preserve">that the GARP contributes positively to change and does not </w:t>
      </w:r>
      <w:r w:rsidR="007279C6">
        <w:t xml:space="preserve">inadvertently </w:t>
      </w:r>
      <w:r w:rsidR="008B3499">
        <w:t>advance</w:t>
      </w:r>
      <w:r w:rsidR="007279C6">
        <w:t xml:space="preserve"> the creation of a </w:t>
      </w:r>
      <w:r w:rsidR="004429C6">
        <w:t>new generation of quasi-institution</w:t>
      </w:r>
      <w:r w:rsidR="00916B9B">
        <w:t xml:space="preserve">al </w:t>
      </w:r>
      <w:r w:rsidR="008B3499">
        <w:t xml:space="preserve">discriminatory </w:t>
      </w:r>
      <w:r w:rsidR="00DF5F00">
        <w:t>approaches, practices, and infrastructure designs.</w:t>
      </w:r>
    </w:p>
    <w:p w14:paraId="5A52429F" w14:textId="71BEC9A1" w:rsidR="00AA0288" w:rsidRDefault="00DB54B0" w:rsidP="008117EB">
      <w:pPr>
        <w:spacing w:after="160"/>
      </w:pPr>
      <w:r>
        <w:t xml:space="preserve">Australia is a signatory </w:t>
      </w:r>
      <w:r w:rsidR="00C67932">
        <w:t xml:space="preserve">to the United </w:t>
      </w:r>
      <w:r w:rsidR="008F353D">
        <w:t xml:space="preserve">Nations Convention on the Rights of Persons with </w:t>
      </w:r>
      <w:r w:rsidR="009F231E">
        <w:t>D</w:t>
      </w:r>
      <w:r w:rsidR="008F353D">
        <w:t>isabilities (UNCRPD</w:t>
      </w:r>
      <w:r w:rsidR="009C435B">
        <w:t>),</w:t>
      </w:r>
      <w:r w:rsidR="008F353D">
        <w:t xml:space="preserve"> </w:t>
      </w:r>
      <w:r w:rsidR="009F231E">
        <w:t xml:space="preserve">and it is important the GARP also reflects </w:t>
      </w:r>
      <w:r w:rsidR="00700BC5">
        <w:t xml:space="preserve">the obligations this bestows </w:t>
      </w:r>
      <w:r w:rsidR="00AC52B5">
        <w:t>on all tiers of government.</w:t>
      </w:r>
      <w:r w:rsidR="009C435B">
        <w:rPr>
          <w:rStyle w:val="FootnoteReference"/>
        </w:rPr>
        <w:footnoteReference w:id="7"/>
      </w:r>
      <w:r w:rsidR="00AC52B5">
        <w:t xml:space="preserve"> </w:t>
      </w:r>
      <w:r w:rsidR="001703C7">
        <w:t xml:space="preserve">The Discussion </w:t>
      </w:r>
      <w:r w:rsidR="00D20777">
        <w:t xml:space="preserve">Paper only makes one </w:t>
      </w:r>
      <w:r w:rsidR="00D42D70">
        <w:t xml:space="preserve">reference to </w:t>
      </w:r>
      <w:r w:rsidR="005B66BA">
        <w:t xml:space="preserve">the rights of </w:t>
      </w:r>
      <w:r w:rsidR="005B66BA">
        <w:lastRenderedPageBreak/>
        <w:t xml:space="preserve">people within the Greater Adelaide </w:t>
      </w:r>
      <w:r w:rsidR="009E474C">
        <w:t>region,</w:t>
      </w:r>
      <w:r w:rsidR="005B66BA">
        <w:t xml:space="preserve"> and this relates </w:t>
      </w:r>
      <w:r w:rsidR="00585954">
        <w:t>narrowly to landowners’ land use rights.</w:t>
      </w:r>
      <w:r w:rsidR="00A4649C">
        <w:rPr>
          <w:rStyle w:val="FootnoteReference"/>
        </w:rPr>
        <w:footnoteReference w:id="8"/>
      </w:r>
      <w:r w:rsidR="00585954">
        <w:t xml:space="preserve"> </w:t>
      </w:r>
      <w:r w:rsidR="009E474C">
        <w:t>It is essential the GARP</w:t>
      </w:r>
      <w:r w:rsidR="008E64FA">
        <w:t xml:space="preserve"> and, in implementing it, governments, </w:t>
      </w:r>
      <w:r w:rsidR="00B0755B">
        <w:t xml:space="preserve">apply a much broader lens </w:t>
      </w:r>
      <w:r w:rsidR="00631D2F">
        <w:t>regarding</w:t>
      </w:r>
      <w:r w:rsidR="00B0755B">
        <w:t xml:space="preserve"> human rights and ensure the UNC</w:t>
      </w:r>
      <w:r w:rsidR="006516A0">
        <w:t>RPD</w:t>
      </w:r>
      <w:r w:rsidR="00D50BD6">
        <w:t xml:space="preserve">, among other </w:t>
      </w:r>
      <w:r w:rsidR="00D741C8">
        <w:t xml:space="preserve">human rights </w:t>
      </w:r>
      <w:r w:rsidR="00D50BD6">
        <w:t xml:space="preserve">obligations, </w:t>
      </w:r>
      <w:r w:rsidR="00631D2F">
        <w:t>is</w:t>
      </w:r>
      <w:r w:rsidR="00D50BD6">
        <w:t xml:space="preserve"> upheld and </w:t>
      </w:r>
      <w:r w:rsidR="00631D2F">
        <w:t>promoted</w:t>
      </w:r>
      <w:r w:rsidR="00B33456">
        <w:t>. The UN</w:t>
      </w:r>
      <w:r w:rsidR="00815D94">
        <w:t xml:space="preserve">CRPD covers many facets of life that are highly relevant to the GARP including, but not limited to, </w:t>
      </w:r>
      <w:r w:rsidR="009A4A3E">
        <w:t xml:space="preserve">equality and non-discrimination (Article 5), </w:t>
      </w:r>
      <w:r w:rsidR="004934C6">
        <w:t>accessibility</w:t>
      </w:r>
      <w:r w:rsidR="006A1515">
        <w:t xml:space="preserve"> (Article 9)</w:t>
      </w:r>
      <w:r w:rsidR="004934C6">
        <w:t>, living independently and being included in the community (Article 19),</w:t>
      </w:r>
      <w:r w:rsidR="002631FD">
        <w:t xml:space="preserve"> access to information (Article 21)</w:t>
      </w:r>
      <w:r w:rsidR="00842A78">
        <w:t xml:space="preserve">, </w:t>
      </w:r>
      <w:r w:rsidR="004A714D">
        <w:t xml:space="preserve">and </w:t>
      </w:r>
      <w:r w:rsidR="00842A78">
        <w:t>community participation (Article 30)</w:t>
      </w:r>
      <w:r w:rsidR="004A714D">
        <w:t>.</w:t>
      </w:r>
    </w:p>
    <w:p w14:paraId="00310A46" w14:textId="5DA0F53F" w:rsidR="008B4191" w:rsidRPr="008B4191" w:rsidRDefault="00D40BEC" w:rsidP="008117EB">
      <w:pPr>
        <w:spacing w:after="160"/>
      </w:pPr>
      <w:r>
        <w:rPr>
          <w:i/>
          <w:iCs/>
        </w:rPr>
        <w:t xml:space="preserve">Australia’s Disability Strategy 2021-2031 </w:t>
      </w:r>
      <w:r w:rsidR="0054077E">
        <w:t xml:space="preserve">aligns with </w:t>
      </w:r>
      <w:r w:rsidR="00877E9A">
        <w:t xml:space="preserve">the obligations of governments to protect, promote, and realise the human rights of people living with disability. </w:t>
      </w:r>
      <w:r w:rsidR="00184DC9">
        <w:t xml:space="preserve">South Australia has committed to achieving a range of outcomes </w:t>
      </w:r>
      <w:r w:rsidR="009D57D3">
        <w:t>under this Strategy and t</w:t>
      </w:r>
      <w:r w:rsidR="001E6D97">
        <w:t xml:space="preserve">he GARP should also reflect and align with </w:t>
      </w:r>
      <w:r w:rsidR="009D57D3">
        <w:t>these</w:t>
      </w:r>
      <w:r w:rsidR="001E6D97">
        <w:t>.</w:t>
      </w:r>
      <w:r w:rsidR="009D57D3">
        <w:t xml:space="preserve"> In particular, </w:t>
      </w:r>
      <w:r w:rsidR="00F649B8">
        <w:t>the Strategy commits government</w:t>
      </w:r>
      <w:r w:rsidR="009F442C">
        <w:t>s</w:t>
      </w:r>
      <w:r w:rsidR="00F649B8">
        <w:t xml:space="preserve"> to </w:t>
      </w:r>
      <w:r w:rsidR="00AB0E7B">
        <w:t xml:space="preserve">leadership </w:t>
      </w:r>
      <w:r w:rsidR="00F61FDD">
        <w:t xml:space="preserve">for the inclusion of </w:t>
      </w:r>
      <w:r w:rsidR="00087913">
        <w:t xml:space="preserve">all </w:t>
      </w:r>
      <w:r w:rsidR="00F61FDD">
        <w:t>people living with disability</w:t>
      </w:r>
      <w:r w:rsidR="00087913">
        <w:t>;</w:t>
      </w:r>
      <w:r w:rsidR="00F61FDD">
        <w:t xml:space="preserve"> </w:t>
      </w:r>
      <w:r w:rsidR="005962A4">
        <w:t>accessible housing</w:t>
      </w:r>
      <w:r w:rsidR="00087913">
        <w:t xml:space="preserve"> and</w:t>
      </w:r>
      <w:r w:rsidR="005962A4">
        <w:t xml:space="preserve"> </w:t>
      </w:r>
      <w:r w:rsidR="006A6677">
        <w:t>genuine housing choice</w:t>
      </w:r>
      <w:r w:rsidR="00087913">
        <w:t>;</w:t>
      </w:r>
      <w:r w:rsidR="006A6677">
        <w:t xml:space="preserve"> </w:t>
      </w:r>
      <w:r w:rsidR="00087913">
        <w:t xml:space="preserve">accessible built and natural environments; </w:t>
      </w:r>
      <w:r w:rsidR="006A6677">
        <w:t xml:space="preserve">and full </w:t>
      </w:r>
      <w:r w:rsidR="00F11A7B">
        <w:t>participation in the social, recreational, and cultural li</w:t>
      </w:r>
      <w:r w:rsidR="000A27D6">
        <w:t xml:space="preserve">fe of communities. </w:t>
      </w:r>
      <w:r w:rsidR="008B4191">
        <w:t>Similarly, the GARP needs to align with the South Australian State Disability Inclusion Plan</w:t>
      </w:r>
      <w:r w:rsidR="1942C0A9">
        <w:t>,</w:t>
      </w:r>
      <w:r w:rsidR="008B4191">
        <w:t xml:space="preserve"> known as </w:t>
      </w:r>
      <w:r w:rsidR="008B4191">
        <w:rPr>
          <w:i/>
          <w:iCs/>
        </w:rPr>
        <w:t>Inclusive SA</w:t>
      </w:r>
      <w:r w:rsidR="008B4191">
        <w:t>, which is currently under review</w:t>
      </w:r>
      <w:r w:rsidR="00480E50">
        <w:t xml:space="preserve"> with an updated version to be adopted next year.</w:t>
      </w:r>
    </w:p>
    <w:p w14:paraId="5EA12D2D" w14:textId="447740B4" w:rsidR="005F6ABF" w:rsidRDefault="005F6ABF" w:rsidP="008117EB">
      <w:pPr>
        <w:spacing w:after="160"/>
        <w:rPr>
          <w:b/>
          <w:bCs/>
          <w:color w:val="000000" w:themeColor="text1"/>
        </w:rPr>
      </w:pPr>
      <w:bookmarkStart w:id="6" w:name="_Hlk150179543"/>
      <w:r w:rsidRPr="002B2E02">
        <w:rPr>
          <w:rStyle w:val="Heading4Char"/>
          <w:szCs w:val="24"/>
        </w:rPr>
        <w:t xml:space="preserve">Recommendation </w:t>
      </w:r>
      <w:r>
        <w:rPr>
          <w:rStyle w:val="Heading4Char"/>
          <w:szCs w:val="24"/>
        </w:rPr>
        <w:t>2</w:t>
      </w:r>
      <w:r w:rsidRPr="002B2E02">
        <w:rPr>
          <w:rStyle w:val="Heading4Char"/>
          <w:szCs w:val="24"/>
        </w:rPr>
        <w:t>:</w:t>
      </w:r>
      <w:r w:rsidRPr="002B2E02">
        <w:rPr>
          <w:b/>
        </w:rPr>
        <w:t xml:space="preserve"> </w:t>
      </w:r>
      <w:r w:rsidRPr="002B2E02">
        <w:rPr>
          <w:b/>
          <w:bCs/>
          <w:color w:val="000000" w:themeColor="text1"/>
        </w:rPr>
        <w:t xml:space="preserve">The </w:t>
      </w:r>
      <w:r>
        <w:rPr>
          <w:b/>
          <w:bCs/>
        </w:rPr>
        <w:t xml:space="preserve">Greater Adelaide Regional </w:t>
      </w:r>
      <w:r w:rsidRPr="00B57D1E">
        <w:rPr>
          <w:b/>
          <w:bCs/>
        </w:rPr>
        <w:t>Plan</w:t>
      </w:r>
      <w:r w:rsidRPr="002B2E02">
        <w:rPr>
          <w:b/>
          <w:bCs/>
          <w:color w:val="000000" w:themeColor="text1"/>
        </w:rPr>
        <w:t xml:space="preserve"> </w:t>
      </w:r>
      <w:r>
        <w:rPr>
          <w:b/>
          <w:bCs/>
          <w:color w:val="000000" w:themeColor="text1"/>
        </w:rPr>
        <w:t xml:space="preserve">(GARP) </w:t>
      </w:r>
      <w:r w:rsidRPr="002B2E02">
        <w:rPr>
          <w:b/>
          <w:bCs/>
          <w:color w:val="000000" w:themeColor="text1"/>
        </w:rPr>
        <w:t>should</w:t>
      </w:r>
      <w:r>
        <w:rPr>
          <w:b/>
          <w:bCs/>
          <w:color w:val="000000" w:themeColor="text1"/>
        </w:rPr>
        <w:t xml:space="preserve"> </w:t>
      </w:r>
      <w:r w:rsidR="00CA0630">
        <w:rPr>
          <w:b/>
          <w:bCs/>
          <w:color w:val="000000" w:themeColor="text1"/>
        </w:rPr>
        <w:t xml:space="preserve">identify existing unmet needs </w:t>
      </w:r>
      <w:r w:rsidR="00484CD3">
        <w:rPr>
          <w:b/>
          <w:bCs/>
          <w:color w:val="000000" w:themeColor="text1"/>
        </w:rPr>
        <w:t>within the Greater Adelaide region</w:t>
      </w:r>
      <w:r w:rsidR="004341C1">
        <w:rPr>
          <w:b/>
          <w:bCs/>
          <w:color w:val="000000" w:themeColor="text1"/>
        </w:rPr>
        <w:t xml:space="preserve"> and articulate </w:t>
      </w:r>
      <w:r w:rsidR="00E153BD">
        <w:rPr>
          <w:b/>
          <w:bCs/>
          <w:color w:val="000000" w:themeColor="text1"/>
        </w:rPr>
        <w:t>targeted</w:t>
      </w:r>
      <w:r w:rsidR="004341C1">
        <w:rPr>
          <w:b/>
          <w:bCs/>
          <w:color w:val="000000" w:themeColor="text1"/>
        </w:rPr>
        <w:t xml:space="preserve"> actions and investments to </w:t>
      </w:r>
      <w:r w:rsidR="009A1DA6">
        <w:rPr>
          <w:b/>
          <w:bCs/>
          <w:color w:val="000000" w:themeColor="text1"/>
        </w:rPr>
        <w:t>address</w:t>
      </w:r>
      <w:r w:rsidR="00E153BD">
        <w:rPr>
          <w:b/>
          <w:bCs/>
          <w:color w:val="000000" w:themeColor="text1"/>
        </w:rPr>
        <w:t xml:space="preserve"> these</w:t>
      </w:r>
      <w:r w:rsidR="00275649">
        <w:rPr>
          <w:b/>
          <w:bCs/>
          <w:color w:val="000000" w:themeColor="text1"/>
        </w:rPr>
        <w:t xml:space="preserve"> within </w:t>
      </w:r>
      <w:r w:rsidR="00336FAB">
        <w:rPr>
          <w:b/>
          <w:bCs/>
          <w:color w:val="000000" w:themeColor="text1"/>
        </w:rPr>
        <w:t>the formulation of how the Greater Adelaide region should grow</w:t>
      </w:r>
      <w:r w:rsidR="00484CD3">
        <w:rPr>
          <w:b/>
          <w:bCs/>
          <w:color w:val="000000" w:themeColor="text1"/>
        </w:rPr>
        <w:t xml:space="preserve">. </w:t>
      </w:r>
      <w:r w:rsidR="00C17B0C">
        <w:rPr>
          <w:b/>
          <w:bCs/>
          <w:color w:val="000000" w:themeColor="text1"/>
        </w:rPr>
        <w:t>A framework that identifi</w:t>
      </w:r>
      <w:r w:rsidR="00641771">
        <w:rPr>
          <w:b/>
          <w:bCs/>
          <w:color w:val="000000" w:themeColor="text1"/>
        </w:rPr>
        <w:t>es</w:t>
      </w:r>
      <w:r w:rsidR="00C17B0C">
        <w:rPr>
          <w:b/>
          <w:bCs/>
          <w:color w:val="000000" w:themeColor="text1"/>
        </w:rPr>
        <w:t xml:space="preserve"> </w:t>
      </w:r>
      <w:r w:rsidR="00641771">
        <w:rPr>
          <w:b/>
          <w:bCs/>
          <w:color w:val="000000" w:themeColor="text1"/>
        </w:rPr>
        <w:t xml:space="preserve">a set of </w:t>
      </w:r>
      <w:r w:rsidR="00C17B0C">
        <w:rPr>
          <w:b/>
          <w:bCs/>
          <w:color w:val="000000" w:themeColor="text1"/>
        </w:rPr>
        <w:t>priorit</w:t>
      </w:r>
      <w:r w:rsidR="00AB6229">
        <w:rPr>
          <w:b/>
          <w:bCs/>
          <w:color w:val="000000" w:themeColor="text1"/>
        </w:rPr>
        <w:t>ies</w:t>
      </w:r>
      <w:r w:rsidR="00C17B0C">
        <w:rPr>
          <w:b/>
          <w:bCs/>
          <w:color w:val="000000" w:themeColor="text1"/>
        </w:rPr>
        <w:t xml:space="preserve"> to </w:t>
      </w:r>
      <w:r w:rsidR="004E3EC2">
        <w:rPr>
          <w:b/>
          <w:bCs/>
          <w:color w:val="000000" w:themeColor="text1"/>
        </w:rPr>
        <w:t>fix</w:t>
      </w:r>
      <w:r w:rsidR="00C17B0C">
        <w:rPr>
          <w:b/>
          <w:bCs/>
          <w:color w:val="000000" w:themeColor="text1"/>
        </w:rPr>
        <w:t xml:space="preserve"> existing gaps should be considered </w:t>
      </w:r>
      <w:r w:rsidR="00171057">
        <w:rPr>
          <w:b/>
          <w:bCs/>
          <w:color w:val="000000" w:themeColor="text1"/>
        </w:rPr>
        <w:t>al</w:t>
      </w:r>
      <w:r w:rsidR="004109DF">
        <w:rPr>
          <w:b/>
          <w:bCs/>
          <w:color w:val="000000" w:themeColor="text1"/>
        </w:rPr>
        <w:t>ongside generalised</w:t>
      </w:r>
      <w:r w:rsidR="0043778E">
        <w:rPr>
          <w:b/>
          <w:bCs/>
          <w:color w:val="000000" w:themeColor="text1"/>
        </w:rPr>
        <w:t xml:space="preserve"> </w:t>
      </w:r>
      <w:r w:rsidR="004109DF">
        <w:rPr>
          <w:b/>
          <w:bCs/>
          <w:color w:val="000000" w:themeColor="text1"/>
        </w:rPr>
        <w:t>outcomes.</w:t>
      </w:r>
    </w:p>
    <w:p w14:paraId="720C8442" w14:textId="1702301D" w:rsidR="004109DF" w:rsidRDefault="00864706" w:rsidP="008117EB">
      <w:pPr>
        <w:spacing w:after="160"/>
        <w:rPr>
          <w:b/>
          <w:bCs/>
          <w:color w:val="000000" w:themeColor="text1"/>
        </w:rPr>
      </w:pPr>
      <w:r w:rsidRPr="002B2E02">
        <w:rPr>
          <w:rStyle w:val="Heading4Char"/>
          <w:szCs w:val="24"/>
        </w:rPr>
        <w:t xml:space="preserve">Recommendation </w:t>
      </w:r>
      <w:r>
        <w:rPr>
          <w:rStyle w:val="Heading4Char"/>
          <w:szCs w:val="24"/>
        </w:rPr>
        <w:t>3</w:t>
      </w:r>
      <w:r w:rsidRPr="002B2E02">
        <w:rPr>
          <w:rStyle w:val="Heading4Char"/>
          <w:szCs w:val="24"/>
        </w:rPr>
        <w:t>:</w:t>
      </w:r>
      <w:r w:rsidRPr="002B2E02">
        <w:rPr>
          <w:b/>
        </w:rPr>
        <w:t xml:space="preserve"> </w:t>
      </w:r>
      <w:r w:rsidRPr="002B2E02">
        <w:rPr>
          <w:b/>
          <w:bCs/>
          <w:color w:val="000000" w:themeColor="text1"/>
        </w:rPr>
        <w:t xml:space="preserve">The </w:t>
      </w:r>
      <w:r>
        <w:rPr>
          <w:b/>
          <w:bCs/>
        </w:rPr>
        <w:t xml:space="preserve">Greater Adelaide Regional </w:t>
      </w:r>
      <w:r w:rsidRPr="00B57D1E">
        <w:rPr>
          <w:b/>
          <w:bCs/>
        </w:rPr>
        <w:t>Plan</w:t>
      </w:r>
      <w:r w:rsidRPr="002B2E02">
        <w:rPr>
          <w:b/>
          <w:bCs/>
          <w:color w:val="000000" w:themeColor="text1"/>
        </w:rPr>
        <w:t xml:space="preserve"> </w:t>
      </w:r>
      <w:r>
        <w:rPr>
          <w:b/>
          <w:bCs/>
          <w:color w:val="000000" w:themeColor="text1"/>
        </w:rPr>
        <w:t xml:space="preserve">(GARP) </w:t>
      </w:r>
      <w:r w:rsidRPr="002B2E02">
        <w:rPr>
          <w:b/>
          <w:bCs/>
          <w:color w:val="000000" w:themeColor="text1"/>
        </w:rPr>
        <w:t>should</w:t>
      </w:r>
      <w:r w:rsidR="004E3EC2">
        <w:rPr>
          <w:b/>
          <w:bCs/>
          <w:color w:val="000000" w:themeColor="text1"/>
        </w:rPr>
        <w:t xml:space="preserve"> </w:t>
      </w:r>
      <w:r w:rsidR="00DF0B34">
        <w:rPr>
          <w:b/>
          <w:bCs/>
          <w:color w:val="000000" w:themeColor="text1"/>
        </w:rPr>
        <w:t xml:space="preserve">recognise people living with disability as valuable </w:t>
      </w:r>
      <w:r w:rsidR="002D4E91">
        <w:rPr>
          <w:b/>
          <w:bCs/>
          <w:color w:val="000000" w:themeColor="text1"/>
        </w:rPr>
        <w:t xml:space="preserve">and equal </w:t>
      </w:r>
      <w:r w:rsidR="00DF0B34">
        <w:rPr>
          <w:b/>
          <w:bCs/>
          <w:color w:val="000000" w:themeColor="text1"/>
        </w:rPr>
        <w:t xml:space="preserve">members </w:t>
      </w:r>
      <w:r w:rsidR="002D4E91">
        <w:rPr>
          <w:b/>
          <w:bCs/>
          <w:color w:val="000000" w:themeColor="text1"/>
        </w:rPr>
        <w:t>of Greater Adelaide region</w:t>
      </w:r>
      <w:r w:rsidR="00410B92">
        <w:rPr>
          <w:b/>
          <w:bCs/>
          <w:color w:val="000000" w:themeColor="text1"/>
        </w:rPr>
        <w:t xml:space="preserve"> communities</w:t>
      </w:r>
      <w:r w:rsidR="002D4E91">
        <w:rPr>
          <w:b/>
          <w:bCs/>
          <w:color w:val="000000" w:themeColor="text1"/>
        </w:rPr>
        <w:t xml:space="preserve"> and </w:t>
      </w:r>
      <w:r w:rsidR="004E3EC2">
        <w:rPr>
          <w:b/>
          <w:bCs/>
          <w:color w:val="000000" w:themeColor="text1"/>
        </w:rPr>
        <w:t>reflect and promote the Social Model of Disability.</w:t>
      </w:r>
    </w:p>
    <w:p w14:paraId="181985B5" w14:textId="36DAE8E5" w:rsidR="00D741C8" w:rsidRDefault="00410B92" w:rsidP="008117EB">
      <w:pPr>
        <w:spacing w:after="160"/>
        <w:rPr>
          <w:b/>
          <w:bCs/>
          <w:color w:val="000000" w:themeColor="text1"/>
        </w:rPr>
      </w:pPr>
      <w:r w:rsidRPr="002B2E02">
        <w:rPr>
          <w:rStyle w:val="Heading4Char"/>
          <w:szCs w:val="24"/>
        </w:rPr>
        <w:t xml:space="preserve">Recommendation </w:t>
      </w:r>
      <w:r w:rsidR="000C4905">
        <w:rPr>
          <w:rStyle w:val="Heading4Char"/>
          <w:szCs w:val="24"/>
        </w:rPr>
        <w:t>4</w:t>
      </w:r>
      <w:r w:rsidRPr="002B2E02">
        <w:rPr>
          <w:rStyle w:val="Heading4Char"/>
          <w:szCs w:val="24"/>
        </w:rPr>
        <w:t>:</w:t>
      </w:r>
      <w:r w:rsidRPr="002B2E02">
        <w:rPr>
          <w:b/>
        </w:rPr>
        <w:t xml:space="preserve"> </w:t>
      </w:r>
      <w:r w:rsidRPr="002B2E02">
        <w:rPr>
          <w:b/>
          <w:bCs/>
          <w:color w:val="000000" w:themeColor="text1"/>
        </w:rPr>
        <w:t xml:space="preserve">The </w:t>
      </w:r>
      <w:r>
        <w:rPr>
          <w:b/>
          <w:bCs/>
        </w:rPr>
        <w:t xml:space="preserve">Greater Adelaide Regional </w:t>
      </w:r>
      <w:r w:rsidRPr="00B57D1E">
        <w:rPr>
          <w:b/>
          <w:bCs/>
        </w:rPr>
        <w:t>Plan</w:t>
      </w:r>
      <w:r w:rsidRPr="002B2E02">
        <w:rPr>
          <w:b/>
          <w:bCs/>
          <w:color w:val="000000" w:themeColor="text1"/>
        </w:rPr>
        <w:t xml:space="preserve"> </w:t>
      </w:r>
      <w:r>
        <w:rPr>
          <w:b/>
          <w:bCs/>
          <w:color w:val="000000" w:themeColor="text1"/>
        </w:rPr>
        <w:t xml:space="preserve">(GARP) </w:t>
      </w:r>
      <w:r w:rsidRPr="002B2E02">
        <w:rPr>
          <w:b/>
          <w:bCs/>
          <w:color w:val="000000" w:themeColor="text1"/>
        </w:rPr>
        <w:t>should</w:t>
      </w:r>
      <w:r>
        <w:rPr>
          <w:b/>
          <w:bCs/>
          <w:color w:val="000000" w:themeColor="text1"/>
        </w:rPr>
        <w:t xml:space="preserve"> recognise </w:t>
      </w:r>
      <w:r w:rsidR="00D16F65">
        <w:rPr>
          <w:b/>
          <w:bCs/>
          <w:color w:val="000000" w:themeColor="text1"/>
        </w:rPr>
        <w:t xml:space="preserve">Australia’s obligations under the </w:t>
      </w:r>
      <w:r w:rsidR="00181E97" w:rsidRPr="00181E97">
        <w:rPr>
          <w:b/>
          <w:bCs/>
          <w:color w:val="000000" w:themeColor="text1"/>
        </w:rPr>
        <w:t>United Nations Convention on the Rights of Persons with Disabilities (UNCRPD)</w:t>
      </w:r>
      <w:r w:rsidR="00181E97">
        <w:rPr>
          <w:b/>
          <w:bCs/>
          <w:color w:val="000000" w:themeColor="text1"/>
        </w:rPr>
        <w:t>, among other human rights obligations, and e</w:t>
      </w:r>
      <w:r w:rsidR="00955F2B">
        <w:rPr>
          <w:b/>
          <w:bCs/>
          <w:color w:val="000000" w:themeColor="text1"/>
        </w:rPr>
        <w:t xml:space="preserve">nsure these rights are upheld and promoted. </w:t>
      </w:r>
    </w:p>
    <w:p w14:paraId="2B6F8A40" w14:textId="73DC07D1" w:rsidR="00410B92" w:rsidRDefault="00955F2B" w:rsidP="008117EB">
      <w:pPr>
        <w:spacing w:after="160"/>
        <w:rPr>
          <w:b/>
          <w:bCs/>
        </w:rPr>
      </w:pPr>
      <w:r w:rsidRPr="002B2E02">
        <w:rPr>
          <w:rStyle w:val="Heading4Char"/>
          <w:szCs w:val="24"/>
        </w:rPr>
        <w:lastRenderedPageBreak/>
        <w:t xml:space="preserve">Recommendation </w:t>
      </w:r>
      <w:r>
        <w:rPr>
          <w:rStyle w:val="Heading4Char"/>
          <w:szCs w:val="24"/>
        </w:rPr>
        <w:t>5</w:t>
      </w:r>
      <w:r w:rsidRPr="002B2E02">
        <w:rPr>
          <w:rStyle w:val="Heading4Char"/>
          <w:szCs w:val="24"/>
        </w:rPr>
        <w:t>:</w:t>
      </w:r>
      <w:r w:rsidRPr="002B2E02">
        <w:rPr>
          <w:b/>
        </w:rPr>
        <w:t xml:space="preserve"> </w:t>
      </w:r>
      <w:r w:rsidRPr="002B2E02">
        <w:rPr>
          <w:b/>
          <w:bCs/>
          <w:color w:val="000000" w:themeColor="text1"/>
        </w:rPr>
        <w:t xml:space="preserve">The </w:t>
      </w:r>
      <w:r>
        <w:rPr>
          <w:b/>
          <w:bCs/>
        </w:rPr>
        <w:t xml:space="preserve">Greater Adelaide Regional </w:t>
      </w:r>
      <w:r w:rsidRPr="00B57D1E">
        <w:rPr>
          <w:b/>
          <w:bCs/>
        </w:rPr>
        <w:t>Plan</w:t>
      </w:r>
      <w:r w:rsidRPr="002B2E02">
        <w:rPr>
          <w:b/>
          <w:bCs/>
          <w:color w:val="000000" w:themeColor="text1"/>
        </w:rPr>
        <w:t xml:space="preserve"> </w:t>
      </w:r>
      <w:r>
        <w:rPr>
          <w:b/>
          <w:bCs/>
          <w:color w:val="000000" w:themeColor="text1"/>
        </w:rPr>
        <w:t xml:space="preserve">(GARP) </w:t>
      </w:r>
      <w:r w:rsidRPr="009F442C">
        <w:rPr>
          <w:b/>
          <w:bCs/>
          <w:color w:val="000000" w:themeColor="text1"/>
        </w:rPr>
        <w:t xml:space="preserve">should align with </w:t>
      </w:r>
      <w:r w:rsidRPr="009F442C">
        <w:rPr>
          <w:b/>
          <w:bCs/>
          <w:i/>
          <w:iCs/>
        </w:rPr>
        <w:t xml:space="preserve">Australia’s Disability Strategy 2021-2031 </w:t>
      </w:r>
      <w:r w:rsidR="0017142B" w:rsidRPr="009F442C">
        <w:rPr>
          <w:b/>
          <w:bCs/>
        </w:rPr>
        <w:t xml:space="preserve">and the </w:t>
      </w:r>
      <w:r w:rsidR="009F442C">
        <w:rPr>
          <w:b/>
          <w:bCs/>
        </w:rPr>
        <w:t xml:space="preserve">South Australian </w:t>
      </w:r>
      <w:r w:rsidR="00F01242" w:rsidRPr="009F442C">
        <w:rPr>
          <w:b/>
          <w:bCs/>
        </w:rPr>
        <w:t>State Disability Inclusion Plan</w:t>
      </w:r>
      <w:r w:rsidR="00736F52">
        <w:rPr>
          <w:b/>
          <w:bCs/>
        </w:rPr>
        <w:t>,</w:t>
      </w:r>
      <w:r w:rsidR="00F01242" w:rsidRPr="009F442C">
        <w:rPr>
          <w:b/>
          <w:bCs/>
        </w:rPr>
        <w:t xml:space="preserve"> known as </w:t>
      </w:r>
      <w:r w:rsidR="00F01242" w:rsidRPr="009F442C">
        <w:rPr>
          <w:b/>
          <w:bCs/>
          <w:i/>
          <w:iCs/>
        </w:rPr>
        <w:t>Inclusive SA</w:t>
      </w:r>
      <w:r w:rsidR="009F442C">
        <w:rPr>
          <w:b/>
          <w:bCs/>
        </w:rPr>
        <w:t>,</w:t>
      </w:r>
      <w:r w:rsidR="0017142B" w:rsidRPr="009F442C">
        <w:rPr>
          <w:b/>
          <w:bCs/>
        </w:rPr>
        <w:t xml:space="preserve"> </w:t>
      </w:r>
      <w:r w:rsidR="00106D18" w:rsidRPr="009F442C">
        <w:rPr>
          <w:b/>
          <w:bCs/>
        </w:rPr>
        <w:t xml:space="preserve">and </w:t>
      </w:r>
      <w:r w:rsidR="008D404A" w:rsidRPr="009F442C">
        <w:rPr>
          <w:b/>
          <w:bCs/>
        </w:rPr>
        <w:t>work in a complementary manner to fulfil all the commitments therein.</w:t>
      </w:r>
    </w:p>
    <w:p w14:paraId="70B487DC" w14:textId="77777777" w:rsidR="00E55416" w:rsidRPr="009F442C" w:rsidRDefault="00E55416" w:rsidP="008117EB">
      <w:pPr>
        <w:spacing w:after="160"/>
        <w:rPr>
          <w:b/>
          <w:bCs/>
        </w:rPr>
      </w:pPr>
    </w:p>
    <w:p w14:paraId="669376C5" w14:textId="2BBC9D28" w:rsidR="008635B0" w:rsidRDefault="00822535" w:rsidP="008117EB">
      <w:pPr>
        <w:pStyle w:val="Heading2"/>
        <w:spacing w:after="160" w:line="360" w:lineRule="auto"/>
      </w:pPr>
      <w:bookmarkStart w:id="7" w:name="_Toc150180113"/>
      <w:bookmarkEnd w:id="6"/>
      <w:r>
        <w:t xml:space="preserve">Principles </w:t>
      </w:r>
      <w:r w:rsidR="00B320D3">
        <w:t>to guide where Greater Adelaide should grow</w:t>
      </w:r>
      <w:bookmarkEnd w:id="7"/>
    </w:p>
    <w:p w14:paraId="758E1BFE" w14:textId="0A9C1E1B" w:rsidR="00B320D3" w:rsidRDefault="000A1C83" w:rsidP="008117EB">
      <w:pPr>
        <w:spacing w:after="160"/>
      </w:pPr>
      <w:r>
        <w:t xml:space="preserve">The second core question raised in the Discussion Paper </w:t>
      </w:r>
      <w:r w:rsidR="00457322">
        <w:t>is where Greater Adelaide should grow</w:t>
      </w:r>
      <w:r w:rsidR="005B79B9">
        <w:t xml:space="preserve"> </w:t>
      </w:r>
      <w:proofErr w:type="gramStart"/>
      <w:r w:rsidR="005B79B9">
        <w:t>in order to</w:t>
      </w:r>
      <w:proofErr w:type="gramEnd"/>
      <w:r w:rsidR="005B79B9">
        <w:t xml:space="preserve"> </w:t>
      </w:r>
      <w:r w:rsidR="00A92B88">
        <w:t xml:space="preserve">support </w:t>
      </w:r>
      <w:r w:rsidR="00F45EE5">
        <w:t xml:space="preserve">a </w:t>
      </w:r>
      <w:r w:rsidR="00A92B88">
        <w:t xml:space="preserve">significant population </w:t>
      </w:r>
      <w:r w:rsidR="00F45EE5">
        <w:t>increase</w:t>
      </w:r>
      <w:r w:rsidR="00A92B88">
        <w:t xml:space="preserve"> over the next 30 years.</w:t>
      </w:r>
      <w:r w:rsidR="00457322">
        <w:t xml:space="preserve"> The Paper </w:t>
      </w:r>
      <w:r w:rsidR="005B79B9">
        <w:t xml:space="preserve">proposes seven principles to </w:t>
      </w:r>
      <w:r w:rsidR="004C0384">
        <w:t xml:space="preserve">guide decision making about </w:t>
      </w:r>
      <w:r w:rsidR="00A602B0">
        <w:t>where this growth is located</w:t>
      </w:r>
      <w:r w:rsidR="0017676D">
        <w:t>. These are:</w:t>
      </w:r>
    </w:p>
    <w:p w14:paraId="45BAC951" w14:textId="0CF5F254" w:rsidR="0017676D" w:rsidRDefault="00C2257B" w:rsidP="0017676D">
      <w:pPr>
        <w:pStyle w:val="ListParagraph"/>
        <w:numPr>
          <w:ilvl w:val="0"/>
          <w:numId w:val="41"/>
        </w:numPr>
        <w:spacing w:after="160"/>
      </w:pPr>
      <w:r w:rsidRPr="00C2257B">
        <w:t>We will plan for a high-growth scenario and stage the release of new land to meet the forecast demand of 300,000 dwellings by 2051.</w:t>
      </w:r>
    </w:p>
    <w:p w14:paraId="034B0575" w14:textId="7B9C143A" w:rsidR="00C2257B" w:rsidRDefault="00EB0CE9" w:rsidP="0017676D">
      <w:pPr>
        <w:pStyle w:val="ListParagraph"/>
        <w:numPr>
          <w:ilvl w:val="0"/>
          <w:numId w:val="41"/>
        </w:numPr>
        <w:spacing w:after="160"/>
      </w:pPr>
      <w:r w:rsidRPr="00EB0CE9">
        <w:t xml:space="preserve">Sub-regions will have their own distinct part to play in Greater Adelaide’s </w:t>
      </w:r>
      <w:proofErr w:type="gramStart"/>
      <w:r w:rsidRPr="00EB0CE9">
        <w:t>future</w:t>
      </w:r>
      <w:proofErr w:type="gramEnd"/>
      <w:r w:rsidRPr="00EB0CE9">
        <w:t xml:space="preserve"> and each Local Government Area will have targets to accommodate growth.</w:t>
      </w:r>
    </w:p>
    <w:p w14:paraId="5F26A93F" w14:textId="090EDE00" w:rsidR="00EB0CE9" w:rsidRDefault="00401C6D" w:rsidP="0017676D">
      <w:pPr>
        <w:pStyle w:val="ListParagraph"/>
        <w:numPr>
          <w:ilvl w:val="0"/>
          <w:numId w:val="41"/>
        </w:numPr>
        <w:spacing w:after="160"/>
      </w:pPr>
      <w:r w:rsidRPr="00401C6D">
        <w:t>Land supply beyond the planned future urban lands must take into consideration existing capacity of land that is available for development within the existing boundaries (defined by EFPAs</w:t>
      </w:r>
      <w:r w:rsidR="00956D8B">
        <w:t xml:space="preserve"> </w:t>
      </w:r>
      <w:r w:rsidR="00956D8B" w:rsidRPr="00956D8B">
        <w:t>[that is, Environment and Food Production Areas]</w:t>
      </w:r>
      <w:r w:rsidRPr="00401C6D">
        <w:t>).</w:t>
      </w:r>
    </w:p>
    <w:p w14:paraId="38952C42" w14:textId="1E8DCE2F" w:rsidR="00CF12A6" w:rsidRDefault="00914F47" w:rsidP="0017676D">
      <w:pPr>
        <w:pStyle w:val="ListParagraph"/>
        <w:numPr>
          <w:ilvl w:val="0"/>
          <w:numId w:val="41"/>
        </w:numPr>
        <w:spacing w:after="160"/>
      </w:pPr>
      <w:r w:rsidRPr="00914F47">
        <w:t>Planning will accommodate rolling 15-year land supply targets for a range of land supply types.</w:t>
      </w:r>
    </w:p>
    <w:p w14:paraId="44C59F28" w14:textId="50CC1864" w:rsidR="00914F47" w:rsidRDefault="00857A94" w:rsidP="0017676D">
      <w:pPr>
        <w:pStyle w:val="ListParagraph"/>
        <w:numPr>
          <w:ilvl w:val="0"/>
          <w:numId w:val="41"/>
        </w:numPr>
        <w:spacing w:after="160"/>
      </w:pPr>
      <w:r w:rsidRPr="00857A94">
        <w:t>The encroachment of urban areas on places of high primary production, landscape or environmental significance should be avoided.</w:t>
      </w:r>
    </w:p>
    <w:p w14:paraId="1B835DF4" w14:textId="02ABB8B6" w:rsidR="00857A94" w:rsidRDefault="004B5285" w:rsidP="0017676D">
      <w:pPr>
        <w:pStyle w:val="ListParagraph"/>
        <w:numPr>
          <w:ilvl w:val="0"/>
          <w:numId w:val="41"/>
        </w:numPr>
        <w:spacing w:after="160"/>
      </w:pPr>
      <w:r w:rsidRPr="004B5285">
        <w:t>To account for zoned land that may not become available for development due to landowner intention, an additional amount of land supply will be identified.</w:t>
      </w:r>
    </w:p>
    <w:p w14:paraId="0E33B271" w14:textId="7FB48584" w:rsidR="004B5285" w:rsidRDefault="00AB51F6" w:rsidP="0017676D">
      <w:pPr>
        <w:pStyle w:val="ListParagraph"/>
        <w:numPr>
          <w:ilvl w:val="0"/>
          <w:numId w:val="41"/>
        </w:numPr>
        <w:spacing w:after="160"/>
      </w:pPr>
      <w:r w:rsidRPr="00AB51F6">
        <w:t>Identification and prioritisation of growth areas will be based on the transparency of costs to community (infrastructure provision, housing cost, ongoing living costs, climate change resilience costs) for differing forms of supply.</w:t>
      </w:r>
    </w:p>
    <w:p w14:paraId="0A2C0343" w14:textId="76D456ED" w:rsidR="00A127EB" w:rsidRDefault="00444411" w:rsidP="00AB51F6">
      <w:pPr>
        <w:spacing w:after="160"/>
      </w:pPr>
      <w:r>
        <w:t>The considerations identified in these principles are important</w:t>
      </w:r>
      <w:r w:rsidR="00167245">
        <w:t xml:space="preserve">, but we believe there are </w:t>
      </w:r>
      <w:r w:rsidR="00D82771">
        <w:t>s</w:t>
      </w:r>
      <w:r w:rsidR="002C427B">
        <w:t>ignificant</w:t>
      </w:r>
      <w:r w:rsidR="00D82771">
        <w:t xml:space="preserve"> </w:t>
      </w:r>
      <w:r w:rsidR="00167245">
        <w:t>gaps in the emphasis, if not the intent</w:t>
      </w:r>
      <w:r w:rsidR="00851017">
        <w:t xml:space="preserve">, of these parameters to guide decision making. </w:t>
      </w:r>
      <w:r w:rsidR="00C17576">
        <w:t>The locations of communities</w:t>
      </w:r>
      <w:r w:rsidR="00951321">
        <w:t>,</w:t>
      </w:r>
      <w:r w:rsidR="00C17576">
        <w:t xml:space="preserve"> and the associated </w:t>
      </w:r>
      <w:r w:rsidR="002937A9">
        <w:t>assets and opportunities</w:t>
      </w:r>
      <w:r w:rsidR="00454F6A">
        <w:t xml:space="preserve"> </w:t>
      </w:r>
      <w:r w:rsidR="00B27312">
        <w:t xml:space="preserve">that are contingent </w:t>
      </w:r>
      <w:r w:rsidR="00EA7DCC">
        <w:t>o</w:t>
      </w:r>
      <w:r w:rsidR="006279B4">
        <w:t>n</w:t>
      </w:r>
      <w:r w:rsidR="00EA7DCC">
        <w:t xml:space="preserve"> this</w:t>
      </w:r>
      <w:r w:rsidR="00951321">
        <w:t>,</w:t>
      </w:r>
      <w:r w:rsidR="002937A9">
        <w:t xml:space="preserve"> have </w:t>
      </w:r>
      <w:r w:rsidR="00BE093D">
        <w:t>serious</w:t>
      </w:r>
      <w:r w:rsidR="002937A9">
        <w:t xml:space="preserve"> implications </w:t>
      </w:r>
      <w:r w:rsidR="00D74093">
        <w:t>for</w:t>
      </w:r>
      <w:r w:rsidR="002937A9">
        <w:t xml:space="preserve"> </w:t>
      </w:r>
      <w:r w:rsidR="00951321">
        <w:t>what li</w:t>
      </w:r>
      <w:r w:rsidR="007813B4">
        <w:t>f</w:t>
      </w:r>
      <w:r w:rsidR="00951321">
        <w:t xml:space="preserve">e </w:t>
      </w:r>
      <w:r w:rsidR="007813B4">
        <w:t>is</w:t>
      </w:r>
      <w:r w:rsidR="00951321">
        <w:t xml:space="preserve"> like</w:t>
      </w:r>
      <w:r w:rsidR="00684548">
        <w:t xml:space="preserve"> </w:t>
      </w:r>
      <w:r w:rsidR="00383DF8">
        <w:t xml:space="preserve">for residents. </w:t>
      </w:r>
      <w:r w:rsidR="000B6EA9">
        <w:t>The</w:t>
      </w:r>
      <w:r w:rsidR="00BE2BAA">
        <w:t>refore, the</w:t>
      </w:r>
      <w:r w:rsidR="000B6EA9">
        <w:t xml:space="preserve"> </w:t>
      </w:r>
      <w:r w:rsidR="001B5AE1">
        <w:lastRenderedPageBreak/>
        <w:t>inclusiveness</w:t>
      </w:r>
      <w:r w:rsidR="00736F52">
        <w:t xml:space="preserve"> and accessibility</w:t>
      </w:r>
      <w:r w:rsidR="001B5AE1">
        <w:t xml:space="preserve"> </w:t>
      </w:r>
      <w:r w:rsidR="00344B79">
        <w:t xml:space="preserve">of </w:t>
      </w:r>
      <w:r w:rsidR="0078316C">
        <w:t xml:space="preserve">the </w:t>
      </w:r>
      <w:r w:rsidR="00344B79">
        <w:t>neighbourhoods and communities</w:t>
      </w:r>
      <w:r w:rsidR="00E05D7C">
        <w:t xml:space="preserve"> </w:t>
      </w:r>
      <w:r w:rsidR="0078316C">
        <w:t xml:space="preserve">in which housing </w:t>
      </w:r>
      <w:r w:rsidR="00E17A4C">
        <w:t xml:space="preserve">and </w:t>
      </w:r>
      <w:r w:rsidR="0078316C">
        <w:t>employment</w:t>
      </w:r>
      <w:r w:rsidR="00E17A4C">
        <w:t xml:space="preserve"> are</w:t>
      </w:r>
      <w:r w:rsidR="00654DC1">
        <w:t xml:space="preserve"> located </w:t>
      </w:r>
      <w:r w:rsidR="003D5C00">
        <w:t xml:space="preserve">is critically important. </w:t>
      </w:r>
      <w:r w:rsidR="00E56668">
        <w:t>It</w:t>
      </w:r>
      <w:r w:rsidR="003D5C00">
        <w:t xml:space="preserve"> requires </w:t>
      </w:r>
      <w:r w:rsidR="00F03309">
        <w:t>proactive planning</w:t>
      </w:r>
      <w:r w:rsidR="00FA6A3C">
        <w:t>;</w:t>
      </w:r>
      <w:r w:rsidR="00F03309">
        <w:t xml:space="preserve"> </w:t>
      </w:r>
      <w:r w:rsidR="003D5C00">
        <w:t xml:space="preserve">different </w:t>
      </w:r>
      <w:r w:rsidR="00E56668">
        <w:t xml:space="preserve">adaptable </w:t>
      </w:r>
      <w:r w:rsidR="003D5C00">
        <w:t xml:space="preserve">strategies depending on whether </w:t>
      </w:r>
      <w:r w:rsidR="00DD26C1">
        <w:t>the development is occurring o</w:t>
      </w:r>
      <w:r w:rsidR="000407F5">
        <w:t xml:space="preserve">n a greenfield site, </w:t>
      </w:r>
      <w:r w:rsidR="00865B76">
        <w:t xml:space="preserve">within an existing </w:t>
      </w:r>
      <w:r w:rsidR="00FF1858">
        <w:t xml:space="preserve">inner or outer </w:t>
      </w:r>
      <w:r w:rsidR="00865B76">
        <w:t>suburb</w:t>
      </w:r>
      <w:r w:rsidR="00C579E2">
        <w:t>, in a satellite city, or in a town</w:t>
      </w:r>
      <w:r w:rsidR="00FA6A3C">
        <w:t>;</w:t>
      </w:r>
      <w:r w:rsidR="004A2F11">
        <w:t xml:space="preserve"> and a </w:t>
      </w:r>
      <w:r w:rsidR="00166F8D">
        <w:t xml:space="preserve">strong </w:t>
      </w:r>
      <w:r w:rsidR="004A2F11">
        <w:t>commit</w:t>
      </w:r>
      <w:r w:rsidR="00166F8D">
        <w:t>ment</w:t>
      </w:r>
      <w:r w:rsidR="004A2F11">
        <w:t xml:space="preserve"> to invest in the required </w:t>
      </w:r>
      <w:r w:rsidR="00AC1F19">
        <w:t>accessible infrastructure and amenities</w:t>
      </w:r>
      <w:r w:rsidR="00C579E2">
        <w:t xml:space="preserve">. </w:t>
      </w:r>
    </w:p>
    <w:p w14:paraId="79DD62D0" w14:textId="0953E77C" w:rsidR="00DA1B8B" w:rsidRDefault="00913BB1" w:rsidP="00AB51F6">
      <w:pPr>
        <w:spacing w:after="160"/>
      </w:pPr>
      <w:r>
        <w:t xml:space="preserve">To date, </w:t>
      </w:r>
      <w:r w:rsidR="00312424">
        <w:t>the planning</w:t>
      </w:r>
      <w:r w:rsidR="00166F8D">
        <w:t xml:space="preserve">, </w:t>
      </w:r>
      <w:r>
        <w:t>strategies</w:t>
      </w:r>
      <w:r w:rsidR="00166F8D">
        <w:t>, and investment</w:t>
      </w:r>
      <w:r>
        <w:t xml:space="preserve"> </w:t>
      </w:r>
      <w:r w:rsidR="00BB1A8F">
        <w:t xml:space="preserve">undertaken </w:t>
      </w:r>
      <w:r>
        <w:t xml:space="preserve">have </w:t>
      </w:r>
      <w:r w:rsidR="00EE51E0">
        <w:t xml:space="preserve">often </w:t>
      </w:r>
      <w:r>
        <w:t>fallen short</w:t>
      </w:r>
      <w:r w:rsidR="009279A3">
        <w:t xml:space="preserve"> </w:t>
      </w:r>
      <w:r w:rsidR="002F6526">
        <w:t xml:space="preserve">of achieving </w:t>
      </w:r>
      <w:r w:rsidR="00291F70">
        <w:t>the necessary</w:t>
      </w:r>
      <w:r w:rsidR="009279A3">
        <w:t xml:space="preserve"> outcomes</w:t>
      </w:r>
      <w:r w:rsidR="002C4102">
        <w:t xml:space="preserve"> and</w:t>
      </w:r>
      <w:r w:rsidR="00B828E3">
        <w:t>, therefore, the GARP</w:t>
      </w:r>
      <w:r w:rsidR="00BD613E">
        <w:t xml:space="preserve"> should </w:t>
      </w:r>
      <w:r w:rsidR="00E76D0A">
        <w:t xml:space="preserve">identify </w:t>
      </w:r>
      <w:r w:rsidR="007F2B34">
        <w:t xml:space="preserve">what gaps in processes and barriers </w:t>
      </w:r>
      <w:r w:rsidR="0080378D">
        <w:t xml:space="preserve">to implementation are present so </w:t>
      </w:r>
      <w:r w:rsidR="0037638F">
        <w:t>addressing</w:t>
      </w:r>
      <w:r w:rsidR="0080378D">
        <w:t xml:space="preserve"> these can be </w:t>
      </w:r>
      <w:r w:rsidR="0037638F">
        <w:t>prioritised</w:t>
      </w:r>
      <w:r>
        <w:t>.</w:t>
      </w:r>
      <w:r w:rsidR="00806CB5">
        <w:t xml:space="preserve"> </w:t>
      </w:r>
      <w:r w:rsidR="00D6118E">
        <w:t xml:space="preserve">The GARP </w:t>
      </w:r>
      <w:r w:rsidR="00F04988">
        <w:t xml:space="preserve">is an opportunity to reflect </w:t>
      </w:r>
      <w:r w:rsidR="00705434">
        <w:t>on</w:t>
      </w:r>
      <w:r w:rsidR="00F04988">
        <w:t xml:space="preserve"> what</w:t>
      </w:r>
      <w:r w:rsidR="004E4B50">
        <w:t xml:space="preserve"> has</w:t>
      </w:r>
      <w:r w:rsidR="00F04988">
        <w:t xml:space="preserve"> work</w:t>
      </w:r>
      <w:r w:rsidR="004E4B50">
        <w:t>ed</w:t>
      </w:r>
      <w:r w:rsidR="00D066F7">
        <w:t xml:space="preserve"> before</w:t>
      </w:r>
      <w:r w:rsidR="00F04988">
        <w:t xml:space="preserve"> and what </w:t>
      </w:r>
      <w:r w:rsidR="00705434">
        <w:t>has</w:t>
      </w:r>
      <w:r w:rsidR="00F04988">
        <w:t xml:space="preserve"> </w:t>
      </w:r>
      <w:proofErr w:type="gramStart"/>
      <w:r w:rsidR="00F04988">
        <w:t>not</w:t>
      </w:r>
      <w:r w:rsidR="00D066F7">
        <w:t>,</w:t>
      </w:r>
      <w:r w:rsidR="000D02D3">
        <w:t xml:space="preserve"> and</w:t>
      </w:r>
      <w:proofErr w:type="gramEnd"/>
      <w:r w:rsidR="000D02D3">
        <w:t xml:space="preserve"> can be an avenue to share these learnings to ensure continuous improvement</w:t>
      </w:r>
      <w:r w:rsidR="00705434">
        <w:t xml:space="preserve">. </w:t>
      </w:r>
      <w:r w:rsidR="000D02D3">
        <w:t xml:space="preserve">It </w:t>
      </w:r>
      <w:r w:rsidR="00D6118E">
        <w:t>must proactively seek to avoid repeat</w:t>
      </w:r>
      <w:r w:rsidR="00753D8B">
        <w:t>s of</w:t>
      </w:r>
      <w:r w:rsidR="00D6118E">
        <w:t xml:space="preserve"> past mistakes, as well as be realistic rather than </w:t>
      </w:r>
      <w:r w:rsidR="00E62EBE">
        <w:t>aspirational</w:t>
      </w:r>
      <w:r w:rsidR="00D6118E">
        <w:t xml:space="preserve">. </w:t>
      </w:r>
      <w:r w:rsidR="00A127EB">
        <w:t xml:space="preserve">Growth locations should not be identified </w:t>
      </w:r>
      <w:proofErr w:type="gramStart"/>
      <w:r w:rsidR="00A127EB">
        <w:t>on the basis of</w:t>
      </w:r>
      <w:proofErr w:type="gramEnd"/>
      <w:r w:rsidR="00A127EB">
        <w:t xml:space="preserve"> </w:t>
      </w:r>
      <w:r w:rsidR="00E62EBE">
        <w:t>a</w:t>
      </w:r>
      <w:r w:rsidR="005074AF">
        <w:t xml:space="preserve">n aspiration for </w:t>
      </w:r>
      <w:r w:rsidR="00EE660C">
        <w:t>a piece of infrastructure</w:t>
      </w:r>
      <w:r w:rsidR="00EC575A">
        <w:t>,</w:t>
      </w:r>
      <w:r w:rsidR="00EE660C">
        <w:t xml:space="preserve"> such as a</w:t>
      </w:r>
      <w:r w:rsidR="00EC575A">
        <w:t xml:space="preserve"> </w:t>
      </w:r>
      <w:r w:rsidR="00EE660C">
        <w:t>train</w:t>
      </w:r>
      <w:r w:rsidR="00DA1B8B">
        <w:t xml:space="preserve"> line extension</w:t>
      </w:r>
      <w:r w:rsidR="00BE6685">
        <w:t xml:space="preserve"> </w:t>
      </w:r>
      <w:r w:rsidR="00E62EBE">
        <w:t>to a</w:t>
      </w:r>
      <w:r w:rsidR="008B7259">
        <w:t>n</w:t>
      </w:r>
      <w:r w:rsidR="00E62EBE">
        <w:t xml:space="preserve"> </w:t>
      </w:r>
      <w:r w:rsidR="008B7259">
        <w:t>outer</w:t>
      </w:r>
      <w:r w:rsidR="00E62EBE">
        <w:t xml:space="preserve"> location</w:t>
      </w:r>
      <w:r w:rsidR="008B7259">
        <w:t xml:space="preserve"> in the region</w:t>
      </w:r>
      <w:r w:rsidR="00EC575A">
        <w:t>,</w:t>
      </w:r>
      <w:r w:rsidR="00E62EBE">
        <w:t xml:space="preserve"> if </w:t>
      </w:r>
      <w:r w:rsidR="005074AF">
        <w:t xml:space="preserve">the necessary </w:t>
      </w:r>
      <w:r w:rsidR="00277CBB">
        <w:t>resources</w:t>
      </w:r>
      <w:r w:rsidR="005074AF">
        <w:t xml:space="preserve"> </w:t>
      </w:r>
      <w:r w:rsidR="005E6F9E">
        <w:t xml:space="preserve">to make </w:t>
      </w:r>
      <w:r w:rsidR="00DA3BFF">
        <w:t>that</w:t>
      </w:r>
      <w:r w:rsidR="004B0433">
        <w:t xml:space="preserve"> a reality </w:t>
      </w:r>
      <w:r w:rsidR="00277CBB">
        <w:t>are</w:t>
      </w:r>
      <w:r w:rsidR="005074AF">
        <w:t xml:space="preserve"> not </w:t>
      </w:r>
      <w:r w:rsidR="00FC5CC2">
        <w:t xml:space="preserve">also </w:t>
      </w:r>
      <w:r w:rsidR="005074AF">
        <w:t xml:space="preserve">allocated. </w:t>
      </w:r>
      <w:r w:rsidR="008B7259">
        <w:t>Aspiration</w:t>
      </w:r>
      <w:r w:rsidR="00170E4D">
        <w:t>s</w:t>
      </w:r>
      <w:r w:rsidR="00B20A09">
        <w:t xml:space="preserve"> that </w:t>
      </w:r>
      <w:r w:rsidR="00170E4D">
        <w:t xml:space="preserve">will </w:t>
      </w:r>
      <w:r w:rsidR="00CD626F">
        <w:t xml:space="preserve">never be </w:t>
      </w:r>
      <w:r w:rsidR="00E61255">
        <w:t>delivered</w:t>
      </w:r>
      <w:r w:rsidR="00B20A09">
        <w:t xml:space="preserve"> </w:t>
      </w:r>
      <w:r w:rsidR="00170E4D">
        <w:t>are</w:t>
      </w:r>
      <w:r w:rsidR="00B20A09">
        <w:t xml:space="preserve"> the enemy of </w:t>
      </w:r>
      <w:r w:rsidR="000B1B81">
        <w:t>good</w:t>
      </w:r>
      <w:r w:rsidR="00B20A09">
        <w:t xml:space="preserve"> planning.</w:t>
      </w:r>
    </w:p>
    <w:p w14:paraId="1A3F9DC8" w14:textId="377FD491" w:rsidR="00AB51F6" w:rsidRDefault="00285466" w:rsidP="00AB51F6">
      <w:pPr>
        <w:spacing w:after="160"/>
      </w:pPr>
      <w:r>
        <w:t xml:space="preserve">A focus on planning, </w:t>
      </w:r>
      <w:r w:rsidR="00A572CA">
        <w:t>development strategies, and investment</w:t>
      </w:r>
      <w:r w:rsidR="00B866A2">
        <w:t xml:space="preserve"> </w:t>
      </w:r>
      <w:r w:rsidR="002A3AAD">
        <w:t xml:space="preserve">to </w:t>
      </w:r>
      <w:r w:rsidR="00B63849">
        <w:t xml:space="preserve">identify the </w:t>
      </w:r>
      <w:r w:rsidR="004B20A4">
        <w:t xml:space="preserve">most appropriate </w:t>
      </w:r>
      <w:r w:rsidR="00B63849">
        <w:t>locations</w:t>
      </w:r>
      <w:r w:rsidR="004B20A4">
        <w:t xml:space="preserve"> for</w:t>
      </w:r>
      <w:r w:rsidR="00B63849">
        <w:t xml:space="preserve">, and </w:t>
      </w:r>
      <w:r w:rsidR="002A3AAD">
        <w:t xml:space="preserve">support </w:t>
      </w:r>
      <w:r w:rsidR="00C135AA">
        <w:t xml:space="preserve">the </w:t>
      </w:r>
      <w:r w:rsidR="002A3AAD">
        <w:t xml:space="preserve">quality </w:t>
      </w:r>
      <w:r w:rsidR="00C135AA">
        <w:t>of</w:t>
      </w:r>
      <w:r w:rsidR="00511F32">
        <w:t xml:space="preserve"> development in</w:t>
      </w:r>
      <w:r w:rsidR="004B20A4">
        <w:t>,</w:t>
      </w:r>
      <w:r w:rsidR="00C135AA">
        <w:t xml:space="preserve"> </w:t>
      </w:r>
      <w:r w:rsidR="002A3AAD">
        <w:t>growth</w:t>
      </w:r>
      <w:r w:rsidR="00557704">
        <w:t xml:space="preserve"> areas</w:t>
      </w:r>
      <w:r w:rsidR="002A3AAD">
        <w:t xml:space="preserve"> </w:t>
      </w:r>
      <w:r w:rsidR="0023689E">
        <w:t xml:space="preserve">also lead us to </w:t>
      </w:r>
      <w:r w:rsidR="00511F32">
        <w:t>the</w:t>
      </w:r>
      <w:r w:rsidR="00B866A2">
        <w:t xml:space="preserve"> </w:t>
      </w:r>
      <w:r w:rsidR="00473C85">
        <w:t xml:space="preserve">consideration of the three </w:t>
      </w:r>
      <w:r w:rsidR="00DF78CD">
        <w:t>critical topics we have already identified above</w:t>
      </w:r>
      <w:r w:rsidR="00135650">
        <w:t xml:space="preserve">, to which we devote </w:t>
      </w:r>
      <w:r w:rsidR="001D6829">
        <w:t>the</w:t>
      </w:r>
      <w:r w:rsidR="00E262BD">
        <w:t xml:space="preserve"> substantive parts of this submission. These are</w:t>
      </w:r>
      <w:r w:rsidR="007A6E9A">
        <w:t xml:space="preserve"> the need to</w:t>
      </w:r>
      <w:r w:rsidR="0064356C">
        <w:t xml:space="preserve"> </w:t>
      </w:r>
      <w:r w:rsidR="00B0289A">
        <w:t>increase the supply of</w:t>
      </w:r>
      <w:r w:rsidR="004E2B92">
        <w:t xml:space="preserve"> housing </w:t>
      </w:r>
      <w:r w:rsidR="00B0289A">
        <w:t>t</w:t>
      </w:r>
      <w:r w:rsidR="004E2B92">
        <w:t xml:space="preserve">hat </w:t>
      </w:r>
      <w:r w:rsidR="00B0289A">
        <w:t>is</w:t>
      </w:r>
      <w:r w:rsidR="004E2B92">
        <w:t xml:space="preserve"> accessible, affordable, and suitable for all members of the Greater Adelaide community; </w:t>
      </w:r>
      <w:r w:rsidR="0002415F">
        <w:t>focus on creating</w:t>
      </w:r>
      <w:r w:rsidR="004E2B92">
        <w:t xml:space="preserve"> inclusive welcoming neighbourhoods and communities for the benefit of all</w:t>
      </w:r>
      <w:r w:rsidR="00736F52">
        <w:t>, and ensure communities are accessible to everyone</w:t>
      </w:r>
      <w:r w:rsidR="004E2B92">
        <w:t>.</w:t>
      </w:r>
    </w:p>
    <w:p w14:paraId="02798583" w14:textId="0EA4F37D" w:rsidR="008B7C6D" w:rsidRPr="00922B6A" w:rsidRDefault="0037638F" w:rsidP="008117EB">
      <w:pPr>
        <w:spacing w:after="160"/>
        <w:rPr>
          <w:b/>
          <w:bCs/>
          <w:color w:val="000000" w:themeColor="text1"/>
        </w:rPr>
      </w:pPr>
      <w:bookmarkStart w:id="8" w:name="_Hlk150179558"/>
      <w:r w:rsidRPr="002B2E02">
        <w:rPr>
          <w:rStyle w:val="Heading4Char"/>
          <w:szCs w:val="24"/>
        </w:rPr>
        <w:t xml:space="preserve">Recommendation </w:t>
      </w:r>
      <w:r>
        <w:rPr>
          <w:rStyle w:val="Heading4Char"/>
          <w:szCs w:val="24"/>
        </w:rPr>
        <w:t>6</w:t>
      </w:r>
      <w:r w:rsidRPr="002B2E02">
        <w:rPr>
          <w:rStyle w:val="Heading4Char"/>
          <w:szCs w:val="24"/>
        </w:rPr>
        <w:t>:</w:t>
      </w:r>
      <w:r w:rsidRPr="002B2E02">
        <w:rPr>
          <w:b/>
        </w:rPr>
        <w:t xml:space="preserve"> </w:t>
      </w:r>
      <w:r w:rsidRPr="002B2E02">
        <w:rPr>
          <w:b/>
          <w:bCs/>
          <w:color w:val="000000" w:themeColor="text1"/>
        </w:rPr>
        <w:t xml:space="preserve">The </w:t>
      </w:r>
      <w:r>
        <w:rPr>
          <w:b/>
          <w:bCs/>
        </w:rPr>
        <w:t xml:space="preserve">Greater Adelaide Regional </w:t>
      </w:r>
      <w:r w:rsidRPr="00B57D1E">
        <w:rPr>
          <w:b/>
          <w:bCs/>
        </w:rPr>
        <w:t>Plan</w:t>
      </w:r>
      <w:r w:rsidRPr="002B2E02">
        <w:rPr>
          <w:b/>
          <w:bCs/>
          <w:color w:val="000000" w:themeColor="text1"/>
        </w:rPr>
        <w:t xml:space="preserve"> </w:t>
      </w:r>
      <w:r>
        <w:rPr>
          <w:b/>
          <w:bCs/>
          <w:color w:val="000000" w:themeColor="text1"/>
        </w:rPr>
        <w:t xml:space="preserve">(GARP) </w:t>
      </w:r>
      <w:r w:rsidRPr="002B2E02">
        <w:rPr>
          <w:b/>
          <w:bCs/>
          <w:color w:val="000000" w:themeColor="text1"/>
        </w:rPr>
        <w:t>should</w:t>
      </w:r>
      <w:r>
        <w:rPr>
          <w:b/>
          <w:bCs/>
          <w:color w:val="000000" w:themeColor="text1"/>
        </w:rPr>
        <w:t xml:space="preserve"> identify </w:t>
      </w:r>
      <w:r w:rsidR="00FA3536">
        <w:rPr>
          <w:b/>
          <w:bCs/>
          <w:color w:val="000000" w:themeColor="text1"/>
        </w:rPr>
        <w:t xml:space="preserve">gaps in processes and barriers </w:t>
      </w:r>
      <w:r w:rsidR="00EC228C">
        <w:rPr>
          <w:b/>
          <w:bCs/>
          <w:color w:val="000000" w:themeColor="text1"/>
        </w:rPr>
        <w:t>for planning and</w:t>
      </w:r>
      <w:r w:rsidR="00FA3536">
        <w:rPr>
          <w:b/>
          <w:bCs/>
          <w:color w:val="000000" w:themeColor="text1"/>
        </w:rPr>
        <w:t xml:space="preserve"> implementation </w:t>
      </w:r>
      <w:r w:rsidR="00967AAB">
        <w:rPr>
          <w:b/>
          <w:bCs/>
          <w:color w:val="000000" w:themeColor="text1"/>
        </w:rPr>
        <w:t xml:space="preserve">regarding </w:t>
      </w:r>
      <w:r w:rsidR="00EC228C">
        <w:rPr>
          <w:b/>
          <w:bCs/>
          <w:color w:val="000000" w:themeColor="text1"/>
        </w:rPr>
        <w:t xml:space="preserve">how to </w:t>
      </w:r>
      <w:r w:rsidR="00353780">
        <w:rPr>
          <w:b/>
          <w:bCs/>
          <w:color w:val="000000" w:themeColor="text1"/>
        </w:rPr>
        <w:t>ensure</w:t>
      </w:r>
      <w:r w:rsidR="00967AAB">
        <w:rPr>
          <w:b/>
          <w:bCs/>
          <w:color w:val="000000" w:themeColor="text1"/>
        </w:rPr>
        <w:t xml:space="preserve"> </w:t>
      </w:r>
      <w:r w:rsidR="0001723F">
        <w:rPr>
          <w:b/>
          <w:bCs/>
          <w:color w:val="000000" w:themeColor="text1"/>
        </w:rPr>
        <w:t>growth locations are inclusive of</w:t>
      </w:r>
      <w:r w:rsidR="00727565">
        <w:rPr>
          <w:b/>
          <w:bCs/>
          <w:color w:val="000000" w:themeColor="text1"/>
        </w:rPr>
        <w:t>,</w:t>
      </w:r>
      <w:r w:rsidR="0001723F">
        <w:rPr>
          <w:b/>
          <w:bCs/>
          <w:color w:val="000000" w:themeColor="text1"/>
        </w:rPr>
        <w:t xml:space="preserve"> </w:t>
      </w:r>
      <w:r w:rsidR="00736F52">
        <w:rPr>
          <w:b/>
          <w:bCs/>
          <w:color w:val="000000" w:themeColor="text1"/>
        </w:rPr>
        <w:t xml:space="preserve">and accessible to, </w:t>
      </w:r>
      <w:r w:rsidR="0001723F">
        <w:rPr>
          <w:b/>
          <w:bCs/>
          <w:color w:val="000000" w:themeColor="text1"/>
        </w:rPr>
        <w:t xml:space="preserve">all </w:t>
      </w:r>
      <w:r w:rsidR="00727565">
        <w:rPr>
          <w:b/>
          <w:bCs/>
          <w:color w:val="000000" w:themeColor="text1"/>
        </w:rPr>
        <w:t xml:space="preserve">members of the </w:t>
      </w:r>
      <w:r w:rsidR="00EA4B14">
        <w:rPr>
          <w:b/>
          <w:bCs/>
          <w:color w:val="000000" w:themeColor="text1"/>
        </w:rPr>
        <w:t>G</w:t>
      </w:r>
      <w:r w:rsidR="00727565">
        <w:rPr>
          <w:b/>
          <w:bCs/>
          <w:color w:val="000000" w:themeColor="text1"/>
        </w:rPr>
        <w:t xml:space="preserve">reater Adelaide </w:t>
      </w:r>
      <w:r w:rsidR="00EA4B14">
        <w:rPr>
          <w:b/>
          <w:bCs/>
          <w:color w:val="000000" w:themeColor="text1"/>
        </w:rPr>
        <w:t>region</w:t>
      </w:r>
      <w:r w:rsidR="00736F52">
        <w:rPr>
          <w:b/>
          <w:bCs/>
          <w:color w:val="000000" w:themeColor="text1"/>
        </w:rPr>
        <w:t xml:space="preserve"> community</w:t>
      </w:r>
      <w:r w:rsidR="00EC228C">
        <w:rPr>
          <w:b/>
          <w:bCs/>
          <w:color w:val="000000" w:themeColor="text1"/>
        </w:rPr>
        <w:t xml:space="preserve">. </w:t>
      </w:r>
      <w:r w:rsidR="00353780">
        <w:rPr>
          <w:b/>
          <w:bCs/>
          <w:color w:val="000000" w:themeColor="text1"/>
        </w:rPr>
        <w:t>This should be central to the formulation of principles to guide where Greater Adelaide should grow.</w:t>
      </w:r>
      <w:r w:rsidR="00F32675">
        <w:rPr>
          <w:b/>
          <w:bCs/>
          <w:color w:val="000000" w:themeColor="text1"/>
        </w:rPr>
        <w:t xml:space="preserve"> </w:t>
      </w:r>
      <w:r>
        <w:rPr>
          <w:b/>
          <w:bCs/>
          <w:color w:val="000000" w:themeColor="text1"/>
        </w:rPr>
        <w:t xml:space="preserve">A framework that identifies a set of priorities to fix </w:t>
      </w:r>
      <w:r w:rsidR="00281074">
        <w:rPr>
          <w:b/>
          <w:bCs/>
          <w:color w:val="000000" w:themeColor="text1"/>
        </w:rPr>
        <w:t>existing</w:t>
      </w:r>
      <w:r w:rsidR="00F32675">
        <w:rPr>
          <w:b/>
          <w:bCs/>
          <w:color w:val="000000" w:themeColor="text1"/>
        </w:rPr>
        <w:t xml:space="preserve"> shortcomings </w:t>
      </w:r>
      <w:r>
        <w:rPr>
          <w:b/>
          <w:bCs/>
          <w:color w:val="000000" w:themeColor="text1"/>
        </w:rPr>
        <w:t>should be considered alongside generalised outcomes.</w:t>
      </w:r>
    </w:p>
    <w:bookmarkEnd w:id="8"/>
    <w:p w14:paraId="1377FD69" w14:textId="77777777" w:rsidR="00992DCC" w:rsidRDefault="00992DCC" w:rsidP="008117EB">
      <w:pPr>
        <w:spacing w:after="160"/>
      </w:pPr>
    </w:p>
    <w:p w14:paraId="063F54A5" w14:textId="77777777" w:rsidR="00E55416" w:rsidRDefault="00E55416" w:rsidP="008117EB">
      <w:pPr>
        <w:spacing w:after="160"/>
      </w:pPr>
    </w:p>
    <w:p w14:paraId="25BBEF37" w14:textId="6B52AE93" w:rsidR="008B7C6D" w:rsidRDefault="009E2CB5" w:rsidP="005D55DA">
      <w:pPr>
        <w:pStyle w:val="Heading2"/>
        <w:spacing w:after="160" w:line="360" w:lineRule="auto"/>
      </w:pPr>
      <w:bookmarkStart w:id="9" w:name="_Toc150180114"/>
      <w:r>
        <w:lastRenderedPageBreak/>
        <w:t xml:space="preserve">Co-designing the </w:t>
      </w:r>
      <w:r w:rsidR="00682A26">
        <w:t>GARP and its implementation</w:t>
      </w:r>
      <w:bookmarkEnd w:id="9"/>
    </w:p>
    <w:p w14:paraId="1E4B1B96" w14:textId="6CB74581" w:rsidR="00097ABC" w:rsidRDefault="000A0941" w:rsidP="00097ABC">
      <w:pPr>
        <w:spacing w:after="160"/>
        <w:jc w:val="both"/>
      </w:pPr>
      <w:r>
        <w:t xml:space="preserve">In this submission, we highlight </w:t>
      </w:r>
      <w:r w:rsidR="005059BC">
        <w:t>some of the key elements that we believe are ess</w:t>
      </w:r>
      <w:r w:rsidR="006D549D">
        <w:t xml:space="preserve">ential if the GARP is to achieve meaningful results. </w:t>
      </w:r>
      <w:r w:rsidR="00097ABC">
        <w:t xml:space="preserve">However, we do not regard this contribution as anything more than a first step. For the GARP to truly reflect the issues and concerns of </w:t>
      </w:r>
      <w:r w:rsidR="004572A2">
        <w:t>the Greater Adelaide community</w:t>
      </w:r>
      <w:r w:rsidR="00097ABC">
        <w:t xml:space="preserve"> and to benefit from their lived experiences, insights, and ideas, we strongly believe the </w:t>
      </w:r>
      <w:r w:rsidR="004572A2">
        <w:t>Commission</w:t>
      </w:r>
      <w:r w:rsidR="00097ABC">
        <w:t xml:space="preserve"> should implement a comprehensive co-design process that genuinely engages people in the development, decision-making processes, and implementation of the </w:t>
      </w:r>
      <w:r w:rsidR="004572A2">
        <w:t>p</w:t>
      </w:r>
      <w:r w:rsidR="00097ABC">
        <w:t xml:space="preserve">lan. </w:t>
      </w:r>
      <w:r w:rsidR="00915777">
        <w:t xml:space="preserve">The co-design process </w:t>
      </w:r>
      <w:r w:rsidR="003805F3">
        <w:t>should</w:t>
      </w:r>
      <w:r w:rsidR="00915777">
        <w:t xml:space="preserve"> be designed to involve </w:t>
      </w:r>
      <w:r w:rsidR="003805F3">
        <w:t>diverse representation from across the community including</w:t>
      </w:r>
      <w:r w:rsidR="00097ABC">
        <w:t xml:space="preserve"> people living with disability. While running a consultation to enable people to have a voice is important, a greater emphasis on active participation and leadership from </w:t>
      </w:r>
      <w:r w:rsidR="00B056D0">
        <w:t xml:space="preserve">within </w:t>
      </w:r>
      <w:r w:rsidR="00097ABC">
        <w:t xml:space="preserve">the </w:t>
      </w:r>
      <w:r w:rsidR="00B056D0">
        <w:t>Greater Adelaide community</w:t>
      </w:r>
      <w:r w:rsidR="00097ABC">
        <w:t xml:space="preserve"> </w:t>
      </w:r>
      <w:r w:rsidR="006F5E6D">
        <w:t xml:space="preserve">will produce a better </w:t>
      </w:r>
      <w:r w:rsidR="00EE4201">
        <w:t>result</w:t>
      </w:r>
      <w:r w:rsidR="00097ABC">
        <w:t xml:space="preserve">. </w:t>
      </w:r>
    </w:p>
    <w:p w14:paraId="426DFE2B" w14:textId="15D6D4CF" w:rsidR="00097ABC" w:rsidRDefault="00097ABC" w:rsidP="00097ABC">
      <w:pPr>
        <w:spacing w:after="160"/>
        <w:jc w:val="both"/>
        <w:rPr>
          <w:color w:val="000000" w:themeColor="text1"/>
        </w:rPr>
      </w:pPr>
      <w:r>
        <w:t xml:space="preserve">Indeed, governments and government </w:t>
      </w:r>
      <w:r w:rsidR="00527308">
        <w:t>agencies</w:t>
      </w:r>
      <w:r>
        <w:t xml:space="preserve"> should proactively consider how genuine co-design processes can enhance policy development across all areas of their work</w:t>
      </w:r>
      <w:r w:rsidR="00B15B9F">
        <w:t>.</w:t>
      </w:r>
      <w:r w:rsidR="00C64CD2">
        <w:t xml:space="preserve"> </w:t>
      </w:r>
      <w:r w:rsidR="00B15B9F">
        <w:t>W</w:t>
      </w:r>
      <w:r w:rsidR="00C64CD2">
        <w:t>hil</w:t>
      </w:r>
      <w:r w:rsidR="00B15B9F">
        <w:t>e</w:t>
      </w:r>
      <w:r w:rsidR="00C64CD2">
        <w:t xml:space="preserve"> we </w:t>
      </w:r>
      <w:r w:rsidR="00B15B9F">
        <w:t xml:space="preserve">often </w:t>
      </w:r>
      <w:r w:rsidR="00C64CD2">
        <w:t xml:space="preserve">hear of agencies </w:t>
      </w:r>
      <w:r w:rsidR="003B0AFC">
        <w:t xml:space="preserve">stating </w:t>
      </w:r>
      <w:r w:rsidR="007F7AA0">
        <w:t xml:space="preserve">they have used a co-design </w:t>
      </w:r>
      <w:r w:rsidR="00B15B9F">
        <w:t>approach</w:t>
      </w:r>
      <w:r w:rsidR="007F7AA0">
        <w:t>, w</w:t>
      </w:r>
      <w:r>
        <w:t xml:space="preserve">e are concerned that many of the </w:t>
      </w:r>
      <w:proofErr w:type="gramStart"/>
      <w:r>
        <w:t>processes</w:t>
      </w:r>
      <w:proofErr w:type="gramEnd"/>
      <w:r>
        <w:t xml:space="preserve"> governments are currently referring to as co-design fall well short of best practice and do not include active involvement in decision making. We encourage the </w:t>
      </w:r>
      <w:r w:rsidR="00EE4201">
        <w:t>Commission</w:t>
      </w:r>
      <w:r>
        <w:t xml:space="preserve"> to access our Guide to Co-Design with People Living with Disability,</w:t>
      </w:r>
      <w:r w:rsidRPr="007971CA">
        <w:rPr>
          <w:rStyle w:val="FootnoteReference"/>
        </w:rPr>
        <w:t xml:space="preserve"> </w:t>
      </w:r>
      <w:r>
        <w:rPr>
          <w:rStyle w:val="FootnoteReference"/>
        </w:rPr>
        <w:footnoteReference w:id="9"/>
      </w:r>
      <w:r>
        <w:t xml:space="preserve"> which was itself co-</w:t>
      </w:r>
      <w:r w:rsidRPr="005A41DF">
        <w:rPr>
          <w:color w:val="000000" w:themeColor="text1"/>
        </w:rPr>
        <w:t>design</w:t>
      </w:r>
      <w:r>
        <w:rPr>
          <w:color w:val="000000" w:themeColor="text1"/>
        </w:rPr>
        <w:t xml:space="preserve">ed, via our </w:t>
      </w:r>
      <w:hyperlink r:id="rId13" w:history="1">
        <w:r w:rsidRPr="00F521A8">
          <w:rPr>
            <w:rStyle w:val="Hyperlink"/>
          </w:rPr>
          <w:t>website</w:t>
        </w:r>
      </w:hyperlink>
      <w:r>
        <w:rPr>
          <w:color w:val="000000" w:themeColor="text1"/>
        </w:rPr>
        <w:t>.</w:t>
      </w:r>
    </w:p>
    <w:p w14:paraId="10BC85B3" w14:textId="4A8FF37D" w:rsidR="00097ABC" w:rsidRDefault="00097ABC" w:rsidP="00097ABC">
      <w:pPr>
        <w:spacing w:after="160"/>
        <w:jc w:val="both"/>
        <w:rPr>
          <w:rStyle w:val="Heading4Char"/>
          <w:szCs w:val="24"/>
        </w:rPr>
      </w:pPr>
      <w:r>
        <w:rPr>
          <w:color w:val="000000" w:themeColor="text1"/>
        </w:rPr>
        <w:t xml:space="preserve">Additionally, we expect that, once formulated, the draft </w:t>
      </w:r>
      <w:r w:rsidR="00AB4DB8">
        <w:rPr>
          <w:color w:val="000000" w:themeColor="text1"/>
        </w:rPr>
        <w:t>GARP</w:t>
      </w:r>
      <w:r>
        <w:rPr>
          <w:color w:val="000000" w:themeColor="text1"/>
        </w:rPr>
        <w:t xml:space="preserve"> will be presented again for further open public consultation and input.</w:t>
      </w:r>
    </w:p>
    <w:p w14:paraId="2B61E1D8" w14:textId="1CC097F7" w:rsidR="00097ABC" w:rsidRDefault="00097ABC" w:rsidP="00097ABC">
      <w:pPr>
        <w:spacing w:after="160"/>
        <w:jc w:val="both"/>
        <w:rPr>
          <w:b/>
          <w:bCs/>
          <w:color w:val="000000" w:themeColor="text1"/>
        </w:rPr>
      </w:pPr>
      <w:bookmarkStart w:id="10" w:name="_Hlk150179568"/>
      <w:r w:rsidRPr="002B2E02">
        <w:rPr>
          <w:rStyle w:val="Heading4Char"/>
          <w:szCs w:val="24"/>
        </w:rPr>
        <w:t xml:space="preserve">Recommendation </w:t>
      </w:r>
      <w:r w:rsidR="00B367DE">
        <w:rPr>
          <w:rStyle w:val="Heading4Char"/>
          <w:szCs w:val="24"/>
        </w:rPr>
        <w:t>7</w:t>
      </w:r>
      <w:r w:rsidRPr="002B2E02">
        <w:rPr>
          <w:rStyle w:val="Heading4Char"/>
          <w:szCs w:val="24"/>
        </w:rPr>
        <w:t>:</w:t>
      </w:r>
      <w:r w:rsidRPr="002B2E02">
        <w:rPr>
          <w:b/>
        </w:rPr>
        <w:t xml:space="preserve"> </w:t>
      </w:r>
      <w:r w:rsidRPr="002B2E02">
        <w:rPr>
          <w:b/>
          <w:bCs/>
          <w:color w:val="000000" w:themeColor="text1"/>
        </w:rPr>
        <w:t xml:space="preserve">The </w:t>
      </w:r>
      <w:r w:rsidR="00AB4DB8">
        <w:rPr>
          <w:b/>
          <w:bCs/>
          <w:color w:val="000000" w:themeColor="text1"/>
        </w:rPr>
        <w:t>State Planning Commission</w:t>
      </w:r>
      <w:r w:rsidRPr="002B2E02">
        <w:rPr>
          <w:b/>
          <w:bCs/>
          <w:color w:val="000000" w:themeColor="text1"/>
        </w:rPr>
        <w:t xml:space="preserve"> should </w:t>
      </w:r>
      <w:r>
        <w:rPr>
          <w:b/>
          <w:bCs/>
          <w:color w:val="000000" w:themeColor="text1"/>
        </w:rPr>
        <w:t>ensure it undertakes</w:t>
      </w:r>
      <w:r w:rsidRPr="002B2E02">
        <w:rPr>
          <w:b/>
          <w:bCs/>
          <w:color w:val="000000" w:themeColor="text1"/>
        </w:rPr>
        <w:t xml:space="preserve"> a genuine co-design process to </w:t>
      </w:r>
      <w:r>
        <w:rPr>
          <w:b/>
          <w:bCs/>
          <w:color w:val="000000" w:themeColor="text1"/>
        </w:rPr>
        <w:t>design and implement</w:t>
      </w:r>
      <w:r w:rsidRPr="002B2E02">
        <w:rPr>
          <w:b/>
          <w:bCs/>
          <w:color w:val="000000" w:themeColor="text1"/>
        </w:rPr>
        <w:t xml:space="preserve"> the </w:t>
      </w:r>
      <w:r w:rsidR="00AB4DB8">
        <w:rPr>
          <w:b/>
          <w:bCs/>
          <w:color w:val="000000" w:themeColor="text1"/>
        </w:rPr>
        <w:t xml:space="preserve">Greater </w:t>
      </w:r>
      <w:r w:rsidR="00D73DCD">
        <w:rPr>
          <w:b/>
          <w:bCs/>
          <w:color w:val="000000" w:themeColor="text1"/>
        </w:rPr>
        <w:t>Adelaide</w:t>
      </w:r>
      <w:r w:rsidR="00AB4DB8">
        <w:rPr>
          <w:b/>
          <w:bCs/>
          <w:color w:val="000000" w:themeColor="text1"/>
        </w:rPr>
        <w:t xml:space="preserve"> Regional Plan (GARP)</w:t>
      </w:r>
      <w:r>
        <w:rPr>
          <w:b/>
          <w:bCs/>
          <w:color w:val="000000" w:themeColor="text1"/>
        </w:rPr>
        <w:t>.</w:t>
      </w:r>
      <w:r w:rsidRPr="002B2E02">
        <w:rPr>
          <w:b/>
          <w:bCs/>
          <w:color w:val="000000" w:themeColor="text1"/>
        </w:rPr>
        <w:t xml:space="preserve"> </w:t>
      </w:r>
      <w:r>
        <w:rPr>
          <w:b/>
          <w:bCs/>
          <w:color w:val="000000" w:themeColor="text1"/>
        </w:rPr>
        <w:t xml:space="preserve">It should engage with a range of cohorts, including people living with disability, to ensure the </w:t>
      </w:r>
      <w:r w:rsidR="00D73DCD">
        <w:rPr>
          <w:b/>
          <w:bCs/>
          <w:color w:val="000000" w:themeColor="text1"/>
        </w:rPr>
        <w:t>p</w:t>
      </w:r>
      <w:r>
        <w:rPr>
          <w:b/>
          <w:bCs/>
          <w:color w:val="000000" w:themeColor="text1"/>
        </w:rPr>
        <w:t>lan reflects diverse needs and will be fit-for-purpose to ensure</w:t>
      </w:r>
      <w:r w:rsidR="00D73DCD">
        <w:rPr>
          <w:b/>
          <w:bCs/>
          <w:color w:val="000000" w:themeColor="text1"/>
        </w:rPr>
        <w:t xml:space="preserve"> </w:t>
      </w:r>
      <w:r w:rsidR="00B367DE">
        <w:rPr>
          <w:b/>
          <w:bCs/>
          <w:color w:val="000000" w:themeColor="text1"/>
        </w:rPr>
        <w:t>it delivers what communities need over the next 30 years</w:t>
      </w:r>
      <w:r>
        <w:rPr>
          <w:b/>
          <w:bCs/>
          <w:color w:val="000000" w:themeColor="text1"/>
        </w:rPr>
        <w:t xml:space="preserve">. </w:t>
      </w:r>
    </w:p>
    <w:p w14:paraId="0DF11F7E" w14:textId="4B0FC637" w:rsidR="00682A26" w:rsidRDefault="00097ABC" w:rsidP="00097ABC">
      <w:pPr>
        <w:spacing w:after="160"/>
        <w:rPr>
          <w:b/>
          <w:bCs/>
          <w:color w:val="000000" w:themeColor="text1"/>
        </w:rPr>
      </w:pPr>
      <w:r w:rsidRPr="002B2E02">
        <w:rPr>
          <w:rStyle w:val="Heading4Char"/>
          <w:szCs w:val="24"/>
        </w:rPr>
        <w:lastRenderedPageBreak/>
        <w:t xml:space="preserve">Recommendation </w:t>
      </w:r>
      <w:r w:rsidR="00B367DE">
        <w:rPr>
          <w:rStyle w:val="Heading4Char"/>
          <w:szCs w:val="24"/>
        </w:rPr>
        <w:t>8</w:t>
      </w:r>
      <w:r w:rsidRPr="002B2E02">
        <w:rPr>
          <w:rStyle w:val="Heading4Char"/>
          <w:szCs w:val="24"/>
        </w:rPr>
        <w:t>:</w:t>
      </w:r>
      <w:r w:rsidRPr="002B2E02">
        <w:rPr>
          <w:b/>
        </w:rPr>
        <w:t xml:space="preserve"> </w:t>
      </w:r>
      <w:r w:rsidRPr="002B2E02">
        <w:rPr>
          <w:b/>
          <w:bCs/>
          <w:color w:val="000000" w:themeColor="text1"/>
        </w:rPr>
        <w:t xml:space="preserve">The </w:t>
      </w:r>
      <w:r w:rsidR="00B367DE">
        <w:rPr>
          <w:b/>
          <w:bCs/>
          <w:color w:val="000000" w:themeColor="text1"/>
        </w:rPr>
        <w:t>State Planning Commission</w:t>
      </w:r>
      <w:r w:rsidRPr="002B2E02">
        <w:rPr>
          <w:b/>
          <w:bCs/>
          <w:color w:val="000000" w:themeColor="text1"/>
        </w:rPr>
        <w:t xml:space="preserve"> should</w:t>
      </w:r>
      <w:r>
        <w:rPr>
          <w:b/>
          <w:bCs/>
          <w:color w:val="000000" w:themeColor="text1"/>
        </w:rPr>
        <w:t xml:space="preserve"> conduct further open public consultation on the draft </w:t>
      </w:r>
      <w:r w:rsidR="00B367DE">
        <w:rPr>
          <w:b/>
          <w:bCs/>
          <w:color w:val="000000" w:themeColor="text1"/>
        </w:rPr>
        <w:t>Greater Adelaide Regional Plan (GARP)</w:t>
      </w:r>
      <w:r>
        <w:rPr>
          <w:b/>
          <w:bCs/>
          <w:color w:val="000000" w:themeColor="text1"/>
        </w:rPr>
        <w:t xml:space="preserve"> once it is formulated.</w:t>
      </w:r>
      <w:bookmarkEnd w:id="10"/>
    </w:p>
    <w:p w14:paraId="20B8BCAD" w14:textId="77777777" w:rsidR="00F66D20" w:rsidRDefault="00F66D20" w:rsidP="00097ABC">
      <w:pPr>
        <w:spacing w:after="160"/>
      </w:pPr>
    </w:p>
    <w:p w14:paraId="6C49202B" w14:textId="7E601A2E" w:rsidR="00B320D3" w:rsidRDefault="006D5466" w:rsidP="005D55DA">
      <w:pPr>
        <w:pStyle w:val="Heading2"/>
        <w:spacing w:after="160" w:line="360" w:lineRule="auto"/>
      </w:pPr>
      <w:bookmarkStart w:id="11" w:name="_Toc150180115"/>
      <w:r>
        <w:t>Setting priorities and</w:t>
      </w:r>
      <w:r w:rsidR="00C51AC6">
        <w:t xml:space="preserve"> tracking progress</w:t>
      </w:r>
      <w:bookmarkEnd w:id="11"/>
    </w:p>
    <w:p w14:paraId="2EA9C5BE" w14:textId="3AAC811A" w:rsidR="00EF4C53" w:rsidRDefault="00EF4C53" w:rsidP="00EF4C53">
      <w:pPr>
        <w:spacing w:after="160"/>
      </w:pPr>
      <w:r>
        <w:t xml:space="preserve">It is essential the GARP includes targets that are meaningful, timebound, and measurable to ensure there is accountability for outcomes. We note this plan will replace one initially prepared in 2010 and subsequently updated in 2018. We fully support ongoing reflection and evolution. Yet, one </w:t>
      </w:r>
      <w:r w:rsidR="00A55A48">
        <w:t>obvious</w:t>
      </w:r>
      <w:r>
        <w:t xml:space="preserve"> downside is how this undermines the evaluation of results. We will never know exactly what the 30-year plan created in 2010 achieved over a 30-year span because it will be replaced before even reaching the half-way point of </w:t>
      </w:r>
      <w:r w:rsidR="00736F52">
        <w:t>this</w:t>
      </w:r>
      <w:r>
        <w:t xml:space="preserve"> term. This is not to suggest we disregard the importance of planning for the long-term or thinking about what the Greater Adelaide region will be like in 30 years’ time. Rather, it highlights the need to set regular interim targets and evaluate progress at various intervals</w:t>
      </w:r>
      <w:r w:rsidR="00B96D63">
        <w:t xml:space="preserve"> throughout the implementation of the GARP</w:t>
      </w:r>
      <w:r>
        <w:t xml:space="preserve">. </w:t>
      </w:r>
    </w:p>
    <w:p w14:paraId="4213DDCB" w14:textId="3C889AD0" w:rsidR="00EF4C53" w:rsidRDefault="00EF4C53" w:rsidP="00EF4C53">
      <w:pPr>
        <w:spacing w:after="160"/>
      </w:pPr>
      <w:r>
        <w:t xml:space="preserve">We suggest the GARP should include targets that are timebound for each five-year period within the 30-year timespan. At each of these junctures, a comprehensive independent assessment of progress should be conducted with the results publicly reported. A comprehensive review of the GARP itself could be conducted on a 10-yearly basis, at which point the span of the document could be extended for a further 10 years. Such an approach would ensure </w:t>
      </w:r>
      <w:r w:rsidR="00736F52">
        <w:t xml:space="preserve">continuity and </w:t>
      </w:r>
      <w:r>
        <w:t xml:space="preserve">accountability </w:t>
      </w:r>
      <w:r w:rsidR="00736F52">
        <w:t>are</w:t>
      </w:r>
      <w:r>
        <w:t xml:space="preserve"> core feature</w:t>
      </w:r>
      <w:r w:rsidR="00736F52">
        <w:t>s</w:t>
      </w:r>
      <w:r>
        <w:t xml:space="preserve"> of the GARP.</w:t>
      </w:r>
    </w:p>
    <w:p w14:paraId="0F309170" w14:textId="05028926" w:rsidR="00EF4C53" w:rsidRDefault="00EF4C53" w:rsidP="00EF4C53">
      <w:pPr>
        <w:spacing w:after="160"/>
      </w:pPr>
      <w:r>
        <w:t xml:space="preserve">We recognise that many </w:t>
      </w:r>
      <w:r w:rsidR="00053F4E">
        <w:t>desirable</w:t>
      </w:r>
      <w:r>
        <w:t xml:space="preserve"> outcomes may not be easily measured, particularly if the Commission focuses on quantitative rather than qualitative results. This is true of some of the topics we raise in this submission. Therefore, it is likely that </w:t>
      </w:r>
      <w:r w:rsidR="00CF7058">
        <w:t xml:space="preserve">a </w:t>
      </w:r>
      <w:r>
        <w:t xml:space="preserve">GARP-specific evaluation design and </w:t>
      </w:r>
      <w:r w:rsidR="00CF7058">
        <w:t xml:space="preserve">associated </w:t>
      </w:r>
      <w:r>
        <w:t xml:space="preserve">data collection will be necessary. Actions to achieve this should be set out in the GARP. </w:t>
      </w:r>
    </w:p>
    <w:p w14:paraId="59E65D3C" w14:textId="19914B08" w:rsidR="008B7C6D" w:rsidRDefault="00B367DE" w:rsidP="005D55DA">
      <w:pPr>
        <w:spacing w:after="160"/>
      </w:pPr>
      <w:bookmarkStart w:id="12" w:name="_Hlk150179578"/>
      <w:r w:rsidRPr="002B2E02">
        <w:rPr>
          <w:rStyle w:val="Heading4Char"/>
          <w:szCs w:val="24"/>
        </w:rPr>
        <w:t xml:space="preserve">Recommendation </w:t>
      </w:r>
      <w:r w:rsidR="00E9620C">
        <w:rPr>
          <w:rStyle w:val="Heading4Char"/>
          <w:szCs w:val="24"/>
        </w:rPr>
        <w:t>9</w:t>
      </w:r>
      <w:r w:rsidRPr="002B2E02">
        <w:rPr>
          <w:rStyle w:val="Heading4Char"/>
          <w:szCs w:val="24"/>
        </w:rPr>
        <w:t>:</w:t>
      </w:r>
      <w:r w:rsidRPr="002B2E02">
        <w:rPr>
          <w:b/>
        </w:rPr>
        <w:t xml:space="preserve"> </w:t>
      </w:r>
      <w:r w:rsidRPr="002B2E02">
        <w:rPr>
          <w:b/>
          <w:bCs/>
          <w:color w:val="000000" w:themeColor="text1"/>
        </w:rPr>
        <w:t xml:space="preserve">The </w:t>
      </w:r>
      <w:r>
        <w:rPr>
          <w:b/>
          <w:bCs/>
        </w:rPr>
        <w:t xml:space="preserve">Greater Adelaide Regional </w:t>
      </w:r>
      <w:r w:rsidRPr="00B57D1E">
        <w:rPr>
          <w:b/>
          <w:bCs/>
        </w:rPr>
        <w:t>Plan</w:t>
      </w:r>
      <w:r w:rsidRPr="002B2E02">
        <w:rPr>
          <w:b/>
          <w:bCs/>
          <w:color w:val="000000" w:themeColor="text1"/>
        </w:rPr>
        <w:t xml:space="preserve"> </w:t>
      </w:r>
      <w:r>
        <w:rPr>
          <w:b/>
          <w:bCs/>
          <w:color w:val="000000" w:themeColor="text1"/>
        </w:rPr>
        <w:t xml:space="preserve">(GARP) </w:t>
      </w:r>
      <w:r w:rsidRPr="002B2E02">
        <w:rPr>
          <w:b/>
          <w:bCs/>
          <w:color w:val="000000" w:themeColor="text1"/>
        </w:rPr>
        <w:t>should</w:t>
      </w:r>
      <w:r w:rsidR="00E9620C">
        <w:rPr>
          <w:b/>
          <w:bCs/>
          <w:color w:val="000000" w:themeColor="text1"/>
        </w:rPr>
        <w:t xml:space="preserve"> set out meaningful, timebound, and measurable targets </w:t>
      </w:r>
      <w:r w:rsidR="00FA6386">
        <w:rPr>
          <w:b/>
          <w:bCs/>
          <w:color w:val="000000" w:themeColor="text1"/>
        </w:rPr>
        <w:t xml:space="preserve">to ensure there is accountability for delivering on its commitments. An independent evaluation of progress toward outcomes should occur every five years </w:t>
      </w:r>
      <w:r w:rsidR="00F97B20">
        <w:rPr>
          <w:b/>
          <w:bCs/>
          <w:color w:val="000000" w:themeColor="text1"/>
        </w:rPr>
        <w:t>with the results</w:t>
      </w:r>
      <w:r w:rsidR="00FA6386">
        <w:rPr>
          <w:b/>
          <w:bCs/>
          <w:color w:val="000000" w:themeColor="text1"/>
        </w:rPr>
        <w:t xml:space="preserve"> publicly reported.</w:t>
      </w:r>
    </w:p>
    <w:p w14:paraId="496676FB" w14:textId="34313CDD" w:rsidR="00C51AC6" w:rsidRPr="008635B0" w:rsidRDefault="00C51AC6" w:rsidP="005D55DA">
      <w:pPr>
        <w:pStyle w:val="Heading2"/>
        <w:spacing w:after="160" w:line="360" w:lineRule="auto"/>
      </w:pPr>
      <w:bookmarkStart w:id="13" w:name="_Toc150180116"/>
      <w:bookmarkEnd w:id="12"/>
      <w:r>
        <w:lastRenderedPageBreak/>
        <w:t>Note on language use</w:t>
      </w:r>
      <w:bookmarkEnd w:id="13"/>
    </w:p>
    <w:p w14:paraId="66C4A586" w14:textId="2D34339E" w:rsidR="003C5101" w:rsidRPr="008B120B" w:rsidRDefault="002E63CB" w:rsidP="005D55DA">
      <w:pPr>
        <w:spacing w:after="160"/>
      </w:pPr>
      <w:r>
        <w:t>Choice of l</w:t>
      </w:r>
      <w:r w:rsidR="007E0A71">
        <w:t xml:space="preserve">anguage is </w:t>
      </w:r>
      <w:r w:rsidR="006D5133">
        <w:t>impactful yet</w:t>
      </w:r>
      <w:r w:rsidR="007E0A71">
        <w:t xml:space="preserve"> can be </w:t>
      </w:r>
      <w:r w:rsidR="00627306">
        <w:t>difficult</w:t>
      </w:r>
      <w:r>
        <w:t xml:space="preserve"> to navigate especially when words have multiple meanings or are in common usage </w:t>
      </w:r>
      <w:r w:rsidR="00D77536">
        <w:t xml:space="preserve">in particular contexts </w:t>
      </w:r>
      <w:r>
        <w:t xml:space="preserve">and therefore </w:t>
      </w:r>
      <w:r w:rsidR="00D77536">
        <w:t xml:space="preserve">act as a shortcut to </w:t>
      </w:r>
      <w:r w:rsidR="00A452F1">
        <w:t xml:space="preserve">a message </w:t>
      </w:r>
      <w:r w:rsidR="00D77536">
        <w:t xml:space="preserve">being </w:t>
      </w:r>
      <w:r>
        <w:t xml:space="preserve">easily understood. </w:t>
      </w:r>
      <w:r w:rsidR="00F274CE">
        <w:t xml:space="preserve">Language and word use </w:t>
      </w:r>
      <w:r w:rsidR="0014691E">
        <w:t xml:space="preserve">is </w:t>
      </w:r>
      <w:r w:rsidR="00A452F1">
        <w:t xml:space="preserve">also </w:t>
      </w:r>
      <w:r w:rsidR="0014691E">
        <w:t xml:space="preserve">constantly evolving and changing. Nevertheless, we can all be mindful of the words we </w:t>
      </w:r>
      <w:r w:rsidR="00513C3F">
        <w:t xml:space="preserve">choose to use, what they might mean to diverse </w:t>
      </w:r>
      <w:r w:rsidR="00A452F1">
        <w:t>groups in the community</w:t>
      </w:r>
      <w:r w:rsidR="004758BC">
        <w:t xml:space="preserve">, and whether there is a more inclusive alternative. Unfortunately, there are some examples in the Discussion Paper </w:t>
      </w:r>
      <w:r w:rsidR="00BF688A">
        <w:t xml:space="preserve">that would be best avoided. For example, </w:t>
      </w:r>
      <w:r w:rsidR="004F5E33">
        <w:t xml:space="preserve">as noted above, assigning ‘disadvantage’ to whole </w:t>
      </w:r>
      <w:r w:rsidR="00753629">
        <w:t xml:space="preserve">groups of people can be easily avoided with </w:t>
      </w:r>
      <w:r w:rsidR="0032264D">
        <w:t xml:space="preserve">more </w:t>
      </w:r>
      <w:r w:rsidR="00753629">
        <w:t xml:space="preserve">nuanced </w:t>
      </w:r>
      <w:r w:rsidR="001D770E">
        <w:t>expression</w:t>
      </w:r>
      <w:r w:rsidR="00753629">
        <w:t xml:space="preserve">. </w:t>
      </w:r>
      <w:r w:rsidR="001D770E">
        <w:t>T</w:t>
      </w:r>
      <w:r w:rsidR="0032264D">
        <w:t>he use of</w:t>
      </w:r>
      <w:r w:rsidR="006062B6">
        <w:t xml:space="preserve"> </w:t>
      </w:r>
      <w:r w:rsidR="006A1245">
        <w:t xml:space="preserve">shortcut </w:t>
      </w:r>
      <w:r w:rsidR="0032264D">
        <w:t xml:space="preserve">terms like ‘walkable’ </w:t>
      </w:r>
      <w:r w:rsidR="00200198">
        <w:t xml:space="preserve">to imply the nature of an area </w:t>
      </w:r>
      <w:r w:rsidR="009002D2">
        <w:t>can</w:t>
      </w:r>
      <w:r w:rsidR="006529FE">
        <w:t xml:space="preserve"> also</w:t>
      </w:r>
      <w:r w:rsidR="009002D2">
        <w:t xml:space="preserve"> be avoided</w:t>
      </w:r>
      <w:r w:rsidR="00040546">
        <w:t xml:space="preserve"> (together with ableist connotation</w:t>
      </w:r>
      <w:r w:rsidR="00877639">
        <w:t>s</w:t>
      </w:r>
      <w:r w:rsidR="00040546">
        <w:t>)</w:t>
      </w:r>
      <w:r w:rsidR="009002D2">
        <w:t xml:space="preserve"> </w:t>
      </w:r>
      <w:r w:rsidR="00B63545">
        <w:t xml:space="preserve">and instead use language that </w:t>
      </w:r>
      <w:r w:rsidR="00200198">
        <w:t xml:space="preserve">directly </w:t>
      </w:r>
      <w:r w:rsidR="00B63545">
        <w:t xml:space="preserve">conveys </w:t>
      </w:r>
      <w:r w:rsidR="006A1245">
        <w:t>the intended meaning</w:t>
      </w:r>
      <w:r w:rsidR="006E4EE1">
        <w:t xml:space="preserve"> and features of the location</w:t>
      </w:r>
      <w:r w:rsidR="00CD09B9">
        <w:t>,</w:t>
      </w:r>
      <w:r w:rsidR="00D24050">
        <w:t xml:space="preserve"> such as </w:t>
      </w:r>
      <w:r w:rsidR="00CD09B9">
        <w:t xml:space="preserve">an </w:t>
      </w:r>
      <w:r w:rsidR="00D24050">
        <w:t>accessible 15-minute neighbourhood</w:t>
      </w:r>
      <w:r w:rsidR="00CD09B9">
        <w:t>.</w:t>
      </w:r>
      <w:r w:rsidR="003F3C83">
        <w:t xml:space="preserve"> </w:t>
      </w:r>
      <w:r w:rsidR="00A23204">
        <w:t>‘</w:t>
      </w:r>
      <w:r w:rsidR="00ED2CF7">
        <w:t xml:space="preserve">Living </w:t>
      </w:r>
      <w:r w:rsidR="00A23204">
        <w:t>L</w:t>
      </w:r>
      <w:r w:rsidR="00ED2CF7">
        <w:t>ocally</w:t>
      </w:r>
      <w:r w:rsidR="00A23204">
        <w:t xml:space="preserve">’ </w:t>
      </w:r>
      <w:r w:rsidR="008A080C">
        <w:t xml:space="preserve">seems to be intended to </w:t>
      </w:r>
      <w:r w:rsidR="00DF761E">
        <w:t>create</w:t>
      </w:r>
      <w:r w:rsidR="008A080C">
        <w:t xml:space="preserve"> a shortcut</w:t>
      </w:r>
      <w:r w:rsidR="006E1B17">
        <w:t xml:space="preserve"> term that implies numerous </w:t>
      </w:r>
      <w:r w:rsidR="00C31A5F">
        <w:t xml:space="preserve">features of a </w:t>
      </w:r>
      <w:r w:rsidR="00012992">
        <w:t xml:space="preserve">community </w:t>
      </w:r>
      <w:r w:rsidR="00DF761E">
        <w:t xml:space="preserve">within Greater Adelaide </w:t>
      </w:r>
      <w:r w:rsidR="00012992">
        <w:t>but</w:t>
      </w:r>
      <w:r w:rsidR="00C31A5F">
        <w:t xml:space="preserve"> is also vague and open to broad interpretation. </w:t>
      </w:r>
      <w:r w:rsidR="00012992">
        <w:t>We would urge the Commission to</w:t>
      </w:r>
      <w:r w:rsidR="00D46911">
        <w:t xml:space="preserve"> choose its words carefully and to</w:t>
      </w:r>
      <w:r w:rsidR="00012992">
        <w:t xml:space="preserve"> use clear direct language</w:t>
      </w:r>
      <w:r w:rsidR="007A00B2">
        <w:t xml:space="preserve"> that is accessible to all while</w:t>
      </w:r>
      <w:r w:rsidR="00012992">
        <w:t xml:space="preserve"> avoid</w:t>
      </w:r>
      <w:r w:rsidR="00D46911">
        <w:t>ing</w:t>
      </w:r>
      <w:r w:rsidR="00012992">
        <w:t xml:space="preserve"> </w:t>
      </w:r>
      <w:r w:rsidR="00952B6E">
        <w:t>‘buzzw</w:t>
      </w:r>
      <w:r w:rsidR="00857738">
        <w:t xml:space="preserve">ords’. </w:t>
      </w:r>
    </w:p>
    <w:p w14:paraId="43EF2BBA" w14:textId="77777777" w:rsidR="00916D7C" w:rsidRDefault="00916D7C" w:rsidP="005D55DA">
      <w:pPr>
        <w:spacing w:after="160"/>
        <w:rPr>
          <w:rFonts w:cstheme="minorHAnsi"/>
          <w:b/>
          <w:color w:val="522E91"/>
          <w:sz w:val="32"/>
          <w:szCs w:val="32"/>
        </w:rPr>
      </w:pPr>
      <w:r>
        <w:br w:type="page"/>
      </w:r>
    </w:p>
    <w:p w14:paraId="623F57CF" w14:textId="426CC441" w:rsidR="005C1237" w:rsidRPr="008B120B" w:rsidRDefault="002A46A7" w:rsidP="00916D7C">
      <w:pPr>
        <w:pStyle w:val="Heading1"/>
        <w:spacing w:after="160" w:line="360" w:lineRule="auto"/>
      </w:pPr>
      <w:bookmarkStart w:id="14" w:name="_Toc150180117"/>
      <w:r>
        <w:lastRenderedPageBreak/>
        <w:t>Focusing on housing outcomes</w:t>
      </w:r>
      <w:r w:rsidR="00747C23">
        <w:t xml:space="preserve"> that work for all people</w:t>
      </w:r>
      <w:bookmarkEnd w:id="14"/>
    </w:p>
    <w:p w14:paraId="5A944CA4" w14:textId="405821AE" w:rsidR="00BB7373" w:rsidRDefault="00BC0B3D" w:rsidP="00916D7C">
      <w:pPr>
        <w:spacing w:after="160"/>
        <w:rPr>
          <w:color w:val="000000" w:themeColor="text1"/>
        </w:rPr>
      </w:pPr>
      <w:r>
        <w:rPr>
          <w:color w:val="000000" w:themeColor="text1"/>
        </w:rPr>
        <w:t xml:space="preserve">While the </w:t>
      </w:r>
      <w:r w:rsidRPr="00730B25">
        <w:rPr>
          <w:color w:val="000000" w:themeColor="text1"/>
        </w:rPr>
        <w:t xml:space="preserve">current housing crisis is </w:t>
      </w:r>
      <w:r>
        <w:rPr>
          <w:color w:val="000000" w:themeColor="text1"/>
        </w:rPr>
        <w:t>impacting all Australians, the impact is far greater for people</w:t>
      </w:r>
      <w:r w:rsidRPr="00730B25">
        <w:rPr>
          <w:color w:val="000000" w:themeColor="text1"/>
        </w:rPr>
        <w:t xml:space="preserve"> living with disability</w:t>
      </w:r>
      <w:r>
        <w:rPr>
          <w:color w:val="000000" w:themeColor="text1"/>
        </w:rPr>
        <w:t xml:space="preserve"> who need both accessible and affordable housing options</w:t>
      </w:r>
      <w:r w:rsidRPr="00730B25">
        <w:rPr>
          <w:color w:val="000000" w:themeColor="text1"/>
        </w:rPr>
        <w:t>. The availability of accessible housing is extremely limited</w:t>
      </w:r>
      <w:r w:rsidR="004A61B2">
        <w:rPr>
          <w:color w:val="000000" w:themeColor="text1"/>
        </w:rPr>
        <w:t xml:space="preserve"> in the Greater Adelaide region</w:t>
      </w:r>
      <w:r w:rsidRPr="00730B25">
        <w:rPr>
          <w:color w:val="000000" w:themeColor="text1"/>
        </w:rPr>
        <w:t xml:space="preserve">, and many people </w:t>
      </w:r>
      <w:r>
        <w:rPr>
          <w:color w:val="000000" w:themeColor="text1"/>
        </w:rPr>
        <w:t>are forced to wait</w:t>
      </w:r>
      <w:r w:rsidRPr="00730B25">
        <w:rPr>
          <w:color w:val="000000" w:themeColor="text1"/>
        </w:rPr>
        <w:t xml:space="preserve"> for long periods of time to find suitable accommodation. </w:t>
      </w:r>
      <w:r>
        <w:rPr>
          <w:color w:val="000000" w:themeColor="text1"/>
        </w:rPr>
        <w:t xml:space="preserve">Outdated institutional approaches to disability housing persist and, indeed, continue to be favoured by government agencies, with many </w:t>
      </w:r>
      <w:r w:rsidR="008B265B">
        <w:rPr>
          <w:color w:val="000000" w:themeColor="text1"/>
        </w:rPr>
        <w:t>people</w:t>
      </w:r>
      <w:r>
        <w:rPr>
          <w:color w:val="000000" w:themeColor="text1"/>
        </w:rPr>
        <w:t xml:space="preserve"> living with disability forced to reside in group houses with people they do not know and would not choose to live with. Others</w:t>
      </w:r>
      <w:r w:rsidRPr="00730B25">
        <w:rPr>
          <w:color w:val="000000" w:themeColor="text1"/>
        </w:rPr>
        <w:t xml:space="preserve"> are stuck in inappropriate accommodation</w:t>
      </w:r>
      <w:r>
        <w:rPr>
          <w:color w:val="000000" w:themeColor="text1"/>
        </w:rPr>
        <w:t>,</w:t>
      </w:r>
      <w:r w:rsidRPr="00730B25">
        <w:rPr>
          <w:color w:val="000000" w:themeColor="text1"/>
        </w:rPr>
        <w:t xml:space="preserve"> including in hospitals</w:t>
      </w:r>
      <w:r>
        <w:rPr>
          <w:color w:val="000000" w:themeColor="text1"/>
        </w:rPr>
        <w:t xml:space="preserve"> long after their clinical needs have been met</w:t>
      </w:r>
      <w:r w:rsidR="00BF519D">
        <w:rPr>
          <w:color w:val="000000" w:themeColor="text1"/>
        </w:rPr>
        <w:t>,</w:t>
      </w:r>
      <w:r>
        <w:rPr>
          <w:color w:val="000000" w:themeColor="text1"/>
        </w:rPr>
        <w:t xml:space="preserve"> due to no suitable alternatives being available</w:t>
      </w:r>
      <w:r w:rsidR="00CD7748">
        <w:rPr>
          <w:color w:val="000000" w:themeColor="text1"/>
        </w:rPr>
        <w:t>.</w:t>
      </w:r>
      <w:r w:rsidR="00FC55CB">
        <w:rPr>
          <w:color w:val="000000" w:themeColor="text1"/>
        </w:rPr>
        <w:t xml:space="preserve"> </w:t>
      </w:r>
      <w:r w:rsidR="005F0416">
        <w:t xml:space="preserve">It is critically important that addressing the poorer housing outcomes for people living with disability </w:t>
      </w:r>
      <w:r w:rsidR="00BF519D">
        <w:t>be</w:t>
      </w:r>
      <w:r w:rsidR="005F0416">
        <w:t xml:space="preserve"> at the forefront of the Commission’s approach to developing the GARP.</w:t>
      </w:r>
    </w:p>
    <w:p w14:paraId="454E452A" w14:textId="3E618375" w:rsidR="00F63C53" w:rsidRDefault="00F63C53" w:rsidP="00916D7C">
      <w:pPr>
        <w:spacing w:after="160"/>
      </w:pPr>
      <w:r>
        <w:t>Rather than pr</w:t>
      </w:r>
      <w:r w:rsidR="0029170C">
        <w:t>oviding feedback</w:t>
      </w:r>
      <w:r>
        <w:t xml:space="preserve"> structured around the proposals put forward in the Discussion Paper, we have elected to dedicate the three substantive </w:t>
      </w:r>
      <w:r w:rsidR="0029170C">
        <w:t>parts of this submission to the critical elements that we believe are overlooked</w:t>
      </w:r>
      <w:r w:rsidR="002457A0">
        <w:t>,</w:t>
      </w:r>
      <w:r w:rsidR="0029170C">
        <w:t xml:space="preserve"> </w:t>
      </w:r>
      <w:r w:rsidR="0013210B">
        <w:t>or received insufficient attention</w:t>
      </w:r>
      <w:r w:rsidR="002457A0">
        <w:t>,</w:t>
      </w:r>
      <w:r w:rsidR="0013210B">
        <w:t xml:space="preserve"> in the Paper. </w:t>
      </w:r>
      <w:r w:rsidR="002457A0">
        <w:t xml:space="preserve">The first of these is the imperative that the GARP focuses on delivering </w:t>
      </w:r>
      <w:r w:rsidR="006045B7">
        <w:t xml:space="preserve">housing that is </w:t>
      </w:r>
      <w:r w:rsidR="006045B7" w:rsidRPr="00A4107E">
        <w:rPr>
          <w:i/>
          <w:iCs/>
        </w:rPr>
        <w:t>accessible</w:t>
      </w:r>
      <w:r w:rsidR="006045B7">
        <w:t xml:space="preserve"> to all </w:t>
      </w:r>
      <w:r w:rsidR="00A4107E">
        <w:t xml:space="preserve">members of the community. Importantly, this is not to detract </w:t>
      </w:r>
      <w:r w:rsidR="003802BD">
        <w:t xml:space="preserve">from the </w:t>
      </w:r>
      <w:r w:rsidR="00BD3627">
        <w:t>goals</w:t>
      </w:r>
      <w:r w:rsidR="003802BD">
        <w:t xml:space="preserve"> of genuine housing choice and </w:t>
      </w:r>
      <w:r w:rsidR="005D7AF6">
        <w:t>well-located</w:t>
      </w:r>
      <w:r w:rsidR="003802BD">
        <w:t xml:space="preserve"> dwellings</w:t>
      </w:r>
      <w:r w:rsidR="00BD3627">
        <w:t xml:space="preserve"> as identified in the proposed outcomes</w:t>
      </w:r>
      <w:r w:rsidR="005D7AF6">
        <w:t xml:space="preserve">, both of which we endorse and will </w:t>
      </w:r>
      <w:r w:rsidR="00456F2A">
        <w:t>elaborate on further throughout this submission</w:t>
      </w:r>
      <w:r w:rsidR="005D7AF6">
        <w:t xml:space="preserve">. </w:t>
      </w:r>
      <w:r w:rsidR="00D600BA">
        <w:t>Instead</w:t>
      </w:r>
      <w:r w:rsidR="00456F2A">
        <w:t>,</w:t>
      </w:r>
      <w:r w:rsidR="005D7AF6">
        <w:t xml:space="preserve"> it is</w:t>
      </w:r>
      <w:r w:rsidR="00456F2A">
        <w:t xml:space="preserve"> to place </w:t>
      </w:r>
      <w:r w:rsidR="00D600BA">
        <w:t xml:space="preserve">a critical emphasis on </w:t>
      </w:r>
      <w:r w:rsidR="00AA133E">
        <w:t>the current severe shortage of accessible dwellings</w:t>
      </w:r>
      <w:r w:rsidR="009232E2">
        <w:t xml:space="preserve"> that must be overcome if </w:t>
      </w:r>
      <w:r w:rsidR="00AF4AF8">
        <w:t>the other proposed outcomes of the GARP are to be fully realised</w:t>
      </w:r>
      <w:r w:rsidR="001E0590">
        <w:t xml:space="preserve"> and if the right </w:t>
      </w:r>
      <w:r w:rsidR="005C2A1B">
        <w:t>to suitable housing is to be met</w:t>
      </w:r>
      <w:r w:rsidR="00AF4AF8">
        <w:t>.</w:t>
      </w:r>
    </w:p>
    <w:p w14:paraId="5CB7B32E" w14:textId="77777777" w:rsidR="00164169" w:rsidRPr="007D1D1D" w:rsidRDefault="00164169" w:rsidP="00164169">
      <w:pPr>
        <w:pStyle w:val="paragraph"/>
        <w:spacing w:before="0" w:beforeAutospacing="0" w:after="160" w:afterAutospacing="0" w:line="360" w:lineRule="auto"/>
        <w:textAlignment w:val="baseline"/>
        <w:rPr>
          <w:rStyle w:val="normaltextrun"/>
          <w:rFonts w:asciiTheme="minorHAnsi" w:hAnsiTheme="minorHAnsi" w:cstheme="minorHAnsi"/>
          <w:lang w:val="en-GB"/>
        </w:rPr>
      </w:pPr>
    </w:p>
    <w:p w14:paraId="0E61D391" w14:textId="77777777" w:rsidR="00164169" w:rsidRDefault="00164169" w:rsidP="00164169">
      <w:pPr>
        <w:pStyle w:val="Heading2"/>
        <w:spacing w:after="160" w:line="360" w:lineRule="auto"/>
      </w:pPr>
      <w:bookmarkStart w:id="15" w:name="_Toc150180118"/>
      <w:r>
        <w:t xml:space="preserve">Providing genuine housing choice and a place to call </w:t>
      </w:r>
      <w:r>
        <w:rPr>
          <w:i/>
          <w:iCs/>
        </w:rPr>
        <w:t>home</w:t>
      </w:r>
      <w:bookmarkEnd w:id="15"/>
    </w:p>
    <w:p w14:paraId="59FE0BB6" w14:textId="77777777" w:rsidR="00164169" w:rsidRDefault="00164169" w:rsidP="00164169">
      <w:pPr>
        <w:spacing w:after="160"/>
        <w:rPr>
          <w:color w:val="000000" w:themeColor="text1"/>
        </w:rPr>
      </w:pPr>
      <w:r>
        <w:t xml:space="preserve">Housing is a critical form of personal Material Capital and a key element of advancing people into lives of </w:t>
      </w:r>
      <w:r>
        <w:rPr>
          <w:i/>
          <w:iCs/>
        </w:rPr>
        <w:t>Citizenhood</w:t>
      </w:r>
      <w:r>
        <w:t xml:space="preserve">. It provides the base from which we access and build all our other Capitals. A </w:t>
      </w:r>
      <w:r w:rsidRPr="00F318FB">
        <w:rPr>
          <w:i/>
          <w:iCs/>
        </w:rPr>
        <w:t>home</w:t>
      </w:r>
      <w:r>
        <w:t xml:space="preserve"> is more than just a shelter; it should be a place we can genuinely call ‘home’;</w:t>
      </w:r>
      <w:r>
        <w:rPr>
          <w:color w:val="000000" w:themeColor="text1"/>
        </w:rPr>
        <w:t xml:space="preserve"> </w:t>
      </w:r>
      <w:r w:rsidRPr="00EE7900">
        <w:rPr>
          <w:color w:val="000000" w:themeColor="text1"/>
        </w:rPr>
        <w:t xml:space="preserve">a place of comfort, rest, renewal, and belonging; where we are free to be ourselves, personalise our surroundings, and make decisions about who enters and on what terms. </w:t>
      </w:r>
      <w:r w:rsidRPr="00EE7900">
        <w:rPr>
          <w:color w:val="000000" w:themeColor="text1"/>
        </w:rPr>
        <w:lastRenderedPageBreak/>
        <w:t xml:space="preserve">Home is the foundation that allows us to live </w:t>
      </w:r>
      <w:r>
        <w:rPr>
          <w:color w:val="000000" w:themeColor="text1"/>
        </w:rPr>
        <w:t xml:space="preserve">good </w:t>
      </w:r>
      <w:r w:rsidRPr="00EE7900">
        <w:rPr>
          <w:color w:val="000000" w:themeColor="text1"/>
        </w:rPr>
        <w:t>ordinary lives, pursue our goals and interests, do things that give us meaning and purpose, build and maintain relationships with friends and loved ones, connect with our neighbours</w:t>
      </w:r>
      <w:r>
        <w:rPr>
          <w:color w:val="000000" w:themeColor="text1"/>
        </w:rPr>
        <w:t>,</w:t>
      </w:r>
      <w:r w:rsidRPr="00EE7900">
        <w:rPr>
          <w:color w:val="000000" w:themeColor="text1"/>
        </w:rPr>
        <w:t xml:space="preserve"> and </w:t>
      </w:r>
      <w:r>
        <w:rPr>
          <w:color w:val="000000" w:themeColor="text1"/>
        </w:rPr>
        <w:t>actively participate in</w:t>
      </w:r>
      <w:r w:rsidRPr="00EE7900">
        <w:rPr>
          <w:color w:val="000000" w:themeColor="text1"/>
        </w:rPr>
        <w:t xml:space="preserve"> our local communities. </w:t>
      </w:r>
      <w:r>
        <w:rPr>
          <w:color w:val="000000" w:themeColor="text1"/>
        </w:rPr>
        <w:t xml:space="preserve">It </w:t>
      </w:r>
      <w:r w:rsidRPr="00EE7900">
        <w:rPr>
          <w:color w:val="000000" w:themeColor="text1"/>
        </w:rPr>
        <w:t>is where we find a sense of safety, security, and certainty when we return at the end of our day. Home enables choice and control in our lives; upholds our individuality, self-determination, and status; and facilitates the use of our existing skills and the development of new ones.</w:t>
      </w:r>
    </w:p>
    <w:p w14:paraId="02141B24" w14:textId="77777777" w:rsidR="00164169" w:rsidRDefault="00164169" w:rsidP="00164169">
      <w:pPr>
        <w:spacing w:after="160"/>
        <w:rPr>
          <w:color w:val="000000" w:themeColor="text1"/>
        </w:rPr>
      </w:pPr>
      <w:r w:rsidRPr="00EE7900">
        <w:rPr>
          <w:color w:val="000000" w:themeColor="text1"/>
        </w:rPr>
        <w:t xml:space="preserve">To invest in the chances of </w:t>
      </w:r>
      <w:r>
        <w:rPr>
          <w:color w:val="000000" w:themeColor="text1"/>
        </w:rPr>
        <w:t xml:space="preserve">a house providing </w:t>
      </w:r>
      <w:r w:rsidRPr="00EE7900">
        <w:rPr>
          <w:color w:val="000000" w:themeColor="text1"/>
        </w:rPr>
        <w:t xml:space="preserve">an authentic sense of home, the dwelling should be accessible in line with a person’s individual requirements and close to ordinary community </w:t>
      </w:r>
      <w:r>
        <w:rPr>
          <w:color w:val="000000" w:themeColor="text1"/>
        </w:rPr>
        <w:t>infrastructure</w:t>
      </w:r>
      <w:r w:rsidRPr="00EE7900">
        <w:rPr>
          <w:color w:val="000000" w:themeColor="text1"/>
        </w:rPr>
        <w:t>, such as shops, health</w:t>
      </w:r>
      <w:r>
        <w:rPr>
          <w:color w:val="000000" w:themeColor="text1"/>
        </w:rPr>
        <w:t>care</w:t>
      </w:r>
      <w:r w:rsidRPr="00EE7900">
        <w:rPr>
          <w:color w:val="000000" w:themeColor="text1"/>
        </w:rPr>
        <w:t xml:space="preserve"> services, transport hubs, recreation facilities, and other public amenities. The resident/s should </w:t>
      </w:r>
      <w:proofErr w:type="gramStart"/>
      <w:r w:rsidRPr="00EE7900">
        <w:rPr>
          <w:color w:val="000000" w:themeColor="text1"/>
        </w:rPr>
        <w:t>be in charge of</w:t>
      </w:r>
      <w:proofErr w:type="gramEnd"/>
      <w:r w:rsidRPr="00EE7900">
        <w:rPr>
          <w:color w:val="000000" w:themeColor="text1"/>
        </w:rPr>
        <w:t xml:space="preserve"> what happens in the home. Appropriate assistive technologies should be utilised to meet the occupant’s circumstances and preferences, to maximise personal control. Crucially, a home should be a place where a person can welcome family, friends, and visitors and build ordinary valued relationships with their neighbours. When the above elements are accomplished, a person is much more likely to take up valued roles in community life</w:t>
      </w:r>
      <w:r>
        <w:rPr>
          <w:color w:val="000000" w:themeColor="text1"/>
        </w:rPr>
        <w:t xml:space="preserve"> and maximise their </w:t>
      </w:r>
      <w:r w:rsidRPr="007F23A0">
        <w:rPr>
          <w:i/>
          <w:iCs/>
          <w:color w:val="000000" w:themeColor="text1"/>
        </w:rPr>
        <w:t>Citizenhood</w:t>
      </w:r>
      <w:r w:rsidRPr="00EE7900">
        <w:rPr>
          <w:color w:val="000000" w:themeColor="text1"/>
        </w:rPr>
        <w:t>.</w:t>
      </w:r>
    </w:p>
    <w:p w14:paraId="5861D545" w14:textId="77777777" w:rsidR="00164169" w:rsidRDefault="00164169" w:rsidP="00164169">
      <w:pPr>
        <w:spacing w:after="160"/>
        <w:jc w:val="both"/>
      </w:pPr>
      <w:r>
        <w:rPr>
          <w:color w:val="000000" w:themeColor="text1"/>
        </w:rPr>
        <w:t xml:space="preserve">People living with disability still have less housing choice than other people despite steps toward deinstitutionalisation. While the Discussion Paper highlights the importance of housing choice, it does not recognise the unevenness in choices and outcomes that already exists. </w:t>
      </w:r>
      <w:r>
        <w:t xml:space="preserve">The GARP should recognise the difference between a house, a facility, and a </w:t>
      </w:r>
      <w:r w:rsidRPr="00122753">
        <w:rPr>
          <w:i/>
          <w:iCs/>
        </w:rPr>
        <w:t>home</w:t>
      </w:r>
      <w:r>
        <w:rPr>
          <w:i/>
          <w:iCs/>
        </w:rPr>
        <w:t xml:space="preserve"> </w:t>
      </w:r>
      <w:r>
        <w:t xml:space="preserve">particularly for people living with disability. A goal of the GARP should be to ensure that each person lives in a place where they feel an authentic sense of </w:t>
      </w:r>
      <w:r w:rsidRPr="00560F36">
        <w:rPr>
          <w:i/>
          <w:iCs/>
        </w:rPr>
        <w:t>home</w:t>
      </w:r>
      <w:r>
        <w:t xml:space="preserve">. It should articulate what it means to have a place to call home and the characteristics that help achieve this outcome. The </w:t>
      </w:r>
      <w:r w:rsidRPr="0022272E">
        <w:rPr>
          <w:i/>
        </w:rPr>
        <w:t>Model of Citizenhood Support</w:t>
      </w:r>
      <w:r>
        <w:t xml:space="preserve"> provides a useful lens through which to formulate this vision. The vision should encapsulate that home is personal to the individual and a base from which they can pursue all other parts of a happy, healthy, productive life in community. Such a vision is critically important to challenging and overcoming outdated perceptions that it is appropriate for people living with disability to be excluded from the ordinary housing options available to non-disabled people.</w:t>
      </w:r>
    </w:p>
    <w:p w14:paraId="3C3FA3D1" w14:textId="6636C5B6" w:rsidR="00164169" w:rsidRDefault="00164169" w:rsidP="00164169">
      <w:pPr>
        <w:spacing w:after="160"/>
        <w:rPr>
          <w:b/>
          <w:bCs/>
        </w:rPr>
      </w:pPr>
      <w:bookmarkStart w:id="16" w:name="_Hlk150179614"/>
      <w:r w:rsidRPr="002B2E02">
        <w:rPr>
          <w:rStyle w:val="Heading4Char"/>
          <w:szCs w:val="24"/>
        </w:rPr>
        <w:lastRenderedPageBreak/>
        <w:t xml:space="preserve">Recommendation </w:t>
      </w:r>
      <w:r>
        <w:rPr>
          <w:rStyle w:val="Heading4Char"/>
          <w:szCs w:val="24"/>
        </w:rPr>
        <w:t>10</w:t>
      </w:r>
      <w:r w:rsidRPr="002B2E02">
        <w:rPr>
          <w:rStyle w:val="Heading4Char"/>
          <w:szCs w:val="24"/>
        </w:rPr>
        <w:t>:</w:t>
      </w:r>
      <w:r w:rsidRPr="002B2E02">
        <w:rPr>
          <w:b/>
        </w:rPr>
        <w:t xml:space="preserve"> </w:t>
      </w:r>
      <w:r w:rsidRPr="00B57D1E">
        <w:rPr>
          <w:b/>
          <w:bCs/>
        </w:rPr>
        <w:t xml:space="preserve">The </w:t>
      </w:r>
      <w:r w:rsidRPr="007D1D1D">
        <w:rPr>
          <w:rFonts w:cstheme="minorHAnsi"/>
          <w:b/>
          <w:bCs/>
        </w:rPr>
        <w:t>Greater Adelaide Regional Plan</w:t>
      </w:r>
      <w:r w:rsidRPr="007D1D1D">
        <w:rPr>
          <w:rFonts w:cstheme="minorHAnsi"/>
          <w:b/>
          <w:bCs/>
          <w:color w:val="000000" w:themeColor="text1"/>
        </w:rPr>
        <w:t xml:space="preserve"> (GARP) </w:t>
      </w:r>
      <w:r w:rsidRPr="00B57D1E">
        <w:rPr>
          <w:b/>
          <w:bCs/>
        </w:rPr>
        <w:t xml:space="preserve">should articulate a vision whereby all </w:t>
      </w:r>
      <w:r>
        <w:rPr>
          <w:b/>
          <w:bCs/>
        </w:rPr>
        <w:t>people</w:t>
      </w:r>
      <w:r w:rsidRPr="00B57D1E">
        <w:rPr>
          <w:b/>
          <w:bCs/>
        </w:rPr>
        <w:t xml:space="preserve"> have access to a place they can authentically call </w:t>
      </w:r>
      <w:r w:rsidRPr="000E2DC4">
        <w:rPr>
          <w:b/>
          <w:bCs/>
          <w:i/>
          <w:iCs/>
        </w:rPr>
        <w:t>home</w:t>
      </w:r>
      <w:r w:rsidRPr="00B57D1E">
        <w:rPr>
          <w:b/>
          <w:bCs/>
        </w:rPr>
        <w:t xml:space="preserve">. It should underscore that this principle applies equally to all people living with disability, not just non-disabled </w:t>
      </w:r>
      <w:r>
        <w:rPr>
          <w:b/>
          <w:bCs/>
        </w:rPr>
        <w:t>people</w:t>
      </w:r>
      <w:r w:rsidRPr="00B57D1E">
        <w:rPr>
          <w:b/>
          <w:bCs/>
        </w:rPr>
        <w:t>.</w:t>
      </w:r>
      <w:r>
        <w:rPr>
          <w:b/>
          <w:bCs/>
        </w:rPr>
        <w:t xml:space="preserve"> </w:t>
      </w:r>
    </w:p>
    <w:p w14:paraId="707C5B0B" w14:textId="1A34E8A4" w:rsidR="00164169" w:rsidRDefault="00164169" w:rsidP="00164169">
      <w:pPr>
        <w:spacing w:after="160"/>
      </w:pPr>
      <w:r w:rsidRPr="002B2E02">
        <w:rPr>
          <w:rStyle w:val="Heading4Char"/>
          <w:szCs w:val="24"/>
        </w:rPr>
        <w:t xml:space="preserve">Recommendation </w:t>
      </w:r>
      <w:r>
        <w:rPr>
          <w:rStyle w:val="Heading4Char"/>
          <w:szCs w:val="24"/>
        </w:rPr>
        <w:t>11</w:t>
      </w:r>
      <w:r w:rsidRPr="002B2E02">
        <w:rPr>
          <w:rStyle w:val="Heading4Char"/>
          <w:szCs w:val="24"/>
        </w:rPr>
        <w:t>:</w:t>
      </w:r>
      <w:r w:rsidRPr="002B2E02">
        <w:rPr>
          <w:b/>
        </w:rPr>
        <w:t xml:space="preserve"> </w:t>
      </w:r>
      <w:r w:rsidRPr="00B57D1E">
        <w:rPr>
          <w:b/>
          <w:bCs/>
        </w:rPr>
        <w:t xml:space="preserve">The </w:t>
      </w:r>
      <w:r w:rsidRPr="007D1D1D">
        <w:rPr>
          <w:rFonts w:cstheme="minorHAnsi"/>
          <w:b/>
          <w:bCs/>
        </w:rPr>
        <w:t>Greater Adelaide Regional Plan</w:t>
      </w:r>
      <w:r w:rsidRPr="007D1D1D">
        <w:rPr>
          <w:rFonts w:cstheme="minorHAnsi"/>
          <w:b/>
          <w:bCs/>
          <w:color w:val="000000" w:themeColor="text1"/>
        </w:rPr>
        <w:t xml:space="preserve"> (GARP) </w:t>
      </w:r>
      <w:r w:rsidRPr="00B57D1E">
        <w:rPr>
          <w:b/>
          <w:bCs/>
        </w:rPr>
        <w:t>should</w:t>
      </w:r>
      <w:r>
        <w:rPr>
          <w:b/>
          <w:bCs/>
        </w:rPr>
        <w:t xml:space="preserve"> include an outcome regarding housing choice for everyone and priority actions to address the existing absence of choice for many people living with disability.</w:t>
      </w:r>
      <w:bookmarkEnd w:id="16"/>
    </w:p>
    <w:p w14:paraId="59224DC3" w14:textId="77777777" w:rsidR="00164169" w:rsidRDefault="00164169" w:rsidP="004077B2">
      <w:pPr>
        <w:spacing w:after="160"/>
      </w:pPr>
    </w:p>
    <w:p w14:paraId="2768908A" w14:textId="7653A150" w:rsidR="001B0837" w:rsidRDefault="00955B1F" w:rsidP="004077B2">
      <w:pPr>
        <w:pStyle w:val="Heading2"/>
        <w:spacing w:after="160" w:line="360" w:lineRule="auto"/>
      </w:pPr>
      <w:bookmarkStart w:id="17" w:name="_Toc150180119"/>
      <w:r>
        <w:t xml:space="preserve">Increasing supply of accessible </w:t>
      </w:r>
      <w:r w:rsidR="001B3719">
        <w:t>dwellings</w:t>
      </w:r>
      <w:bookmarkEnd w:id="17"/>
    </w:p>
    <w:p w14:paraId="2336AF5E" w14:textId="1EBD4E9F" w:rsidR="001071EB" w:rsidRDefault="00B7587D" w:rsidP="001071EB">
      <w:pPr>
        <w:spacing w:after="160"/>
        <w:jc w:val="both"/>
        <w:rPr>
          <w:color w:val="000000" w:themeColor="text1"/>
        </w:rPr>
      </w:pPr>
      <w:r>
        <w:t xml:space="preserve">Greater Adelaide </w:t>
      </w:r>
      <w:r w:rsidR="001071EB">
        <w:t xml:space="preserve">urgently needs more accessible housing. </w:t>
      </w:r>
      <w:r w:rsidR="001071EB" w:rsidRPr="004722F8">
        <w:rPr>
          <w:color w:val="000000" w:themeColor="text1"/>
        </w:rPr>
        <w:t xml:space="preserve">It is essential the housing market and social housing options cater to the needs of all </w:t>
      </w:r>
      <w:r w:rsidR="000841A5">
        <w:rPr>
          <w:color w:val="000000" w:themeColor="text1"/>
        </w:rPr>
        <w:t>people</w:t>
      </w:r>
      <w:r w:rsidR="001071EB">
        <w:rPr>
          <w:color w:val="000000" w:themeColor="text1"/>
        </w:rPr>
        <w:t xml:space="preserve"> without discrimination</w:t>
      </w:r>
      <w:r w:rsidR="001071EB" w:rsidRPr="004722F8">
        <w:rPr>
          <w:color w:val="000000" w:themeColor="text1"/>
        </w:rPr>
        <w:t>, including those living with disability</w:t>
      </w:r>
      <w:r w:rsidR="001071EB">
        <w:rPr>
          <w:color w:val="000000" w:themeColor="text1"/>
        </w:rPr>
        <w:t xml:space="preserve">, older people, people using prams and other aids for young children, and the many others in the community who would benefit from greater accessibility. Good quality accessible housing should meet residents’ current requirements, </w:t>
      </w:r>
      <w:proofErr w:type="gramStart"/>
      <w:r w:rsidR="001071EB">
        <w:rPr>
          <w:color w:val="000000" w:themeColor="text1"/>
        </w:rPr>
        <w:t>taking into account</w:t>
      </w:r>
      <w:proofErr w:type="gramEnd"/>
      <w:r w:rsidR="001071EB">
        <w:rPr>
          <w:color w:val="000000" w:themeColor="text1"/>
        </w:rPr>
        <w:t xml:space="preserve"> the possibilities of a short-term injury or other mobility restriction, as well as being easily adaptable to their changing needs into the future. The problems of affordability and housing security are significantly worse for those requiring accessible housing due to the even more severe supply shortage of such dwellings.</w:t>
      </w:r>
    </w:p>
    <w:p w14:paraId="0B57543D" w14:textId="77777777" w:rsidR="007A00B2" w:rsidRDefault="001071EB" w:rsidP="001071EB">
      <w:pPr>
        <w:spacing w:after="160"/>
        <w:jc w:val="both"/>
        <w:rPr>
          <w:color w:val="000000" w:themeColor="text1"/>
        </w:rPr>
      </w:pPr>
      <w:r w:rsidRPr="00483D39">
        <w:rPr>
          <w:color w:val="000000" w:themeColor="text1"/>
        </w:rPr>
        <w:t xml:space="preserve">Many </w:t>
      </w:r>
      <w:r>
        <w:rPr>
          <w:color w:val="000000" w:themeColor="text1"/>
        </w:rPr>
        <w:t xml:space="preserve">people living with disability </w:t>
      </w:r>
      <w:r w:rsidRPr="00483D39">
        <w:rPr>
          <w:color w:val="000000" w:themeColor="text1"/>
        </w:rPr>
        <w:t xml:space="preserve">are </w:t>
      </w:r>
      <w:r w:rsidR="00E65BFD">
        <w:rPr>
          <w:color w:val="000000" w:themeColor="text1"/>
        </w:rPr>
        <w:t xml:space="preserve">currently </w:t>
      </w:r>
      <w:r w:rsidRPr="00483D39">
        <w:rPr>
          <w:color w:val="000000" w:themeColor="text1"/>
        </w:rPr>
        <w:t>residing in unsuitable accommodation that they cannot move around in, or are stuck in hospital, residential aged care, or a group ho</w:t>
      </w:r>
      <w:r>
        <w:rPr>
          <w:color w:val="000000" w:themeColor="text1"/>
        </w:rPr>
        <w:t>use</w:t>
      </w:r>
      <w:r w:rsidRPr="00483D39">
        <w:rPr>
          <w:color w:val="000000" w:themeColor="text1"/>
        </w:rPr>
        <w:t xml:space="preserve">, with no foreseeable solutions to improve their circumstances. </w:t>
      </w:r>
      <w:r>
        <w:rPr>
          <w:color w:val="000000" w:themeColor="text1"/>
        </w:rPr>
        <w:t xml:space="preserve">Often, </w:t>
      </w:r>
      <w:r w:rsidR="00B407D5">
        <w:rPr>
          <w:color w:val="000000" w:themeColor="text1"/>
        </w:rPr>
        <w:t>people</w:t>
      </w:r>
      <w:r>
        <w:rPr>
          <w:color w:val="000000" w:themeColor="text1"/>
        </w:rPr>
        <w:t xml:space="preserve"> living with disability </w:t>
      </w:r>
      <w:proofErr w:type="gramStart"/>
      <w:r>
        <w:rPr>
          <w:color w:val="000000" w:themeColor="text1"/>
        </w:rPr>
        <w:t>have to</w:t>
      </w:r>
      <w:proofErr w:type="gramEnd"/>
      <w:r w:rsidRPr="006A4114">
        <w:rPr>
          <w:color w:val="000000" w:themeColor="text1"/>
        </w:rPr>
        <w:t xml:space="preserve"> make do with what they can get even if it is inaccessible</w:t>
      </w:r>
      <w:r>
        <w:rPr>
          <w:color w:val="000000" w:themeColor="text1"/>
        </w:rPr>
        <w:t xml:space="preserve"> in full or</w:t>
      </w:r>
      <w:r w:rsidRPr="006A4114">
        <w:rPr>
          <w:color w:val="000000" w:themeColor="text1"/>
        </w:rPr>
        <w:t xml:space="preserve"> in part. Anecdotally, some people with physical disability</w:t>
      </w:r>
      <w:r>
        <w:rPr>
          <w:color w:val="000000" w:themeColor="text1"/>
        </w:rPr>
        <w:t xml:space="preserve"> have reported to JFA Purple Orange that they</w:t>
      </w:r>
      <w:r w:rsidRPr="006A4114">
        <w:rPr>
          <w:color w:val="000000" w:themeColor="text1"/>
        </w:rPr>
        <w:t xml:space="preserve"> must crawl into their bathrooms or complete personal care routines in kitchens. Similarly, many people living with disability continue to live in family homes by necessity, not choice. Others are forced into shared living arrangements with strangers in </w:t>
      </w:r>
      <w:r>
        <w:rPr>
          <w:color w:val="000000" w:themeColor="text1"/>
        </w:rPr>
        <w:t xml:space="preserve">disability </w:t>
      </w:r>
      <w:r w:rsidRPr="006A4114">
        <w:rPr>
          <w:color w:val="000000" w:themeColor="text1"/>
        </w:rPr>
        <w:t>group ho</w:t>
      </w:r>
      <w:r>
        <w:rPr>
          <w:color w:val="000000" w:themeColor="text1"/>
        </w:rPr>
        <w:t>uses</w:t>
      </w:r>
      <w:r w:rsidRPr="006A4114">
        <w:rPr>
          <w:color w:val="000000" w:themeColor="text1"/>
        </w:rPr>
        <w:t>.</w:t>
      </w:r>
      <w:r>
        <w:rPr>
          <w:color w:val="000000" w:themeColor="text1"/>
        </w:rPr>
        <w:t xml:space="preserve"> </w:t>
      </w:r>
    </w:p>
    <w:p w14:paraId="6B8E6EA3" w14:textId="5F318F67" w:rsidR="001071EB" w:rsidRDefault="001071EB" w:rsidP="001071EB">
      <w:pPr>
        <w:spacing w:after="160"/>
        <w:jc w:val="both"/>
      </w:pPr>
      <w:r>
        <w:t xml:space="preserve">Getting by in unsuitable inaccessible housing has significant impacts on the lives of people with access needs. </w:t>
      </w:r>
      <w:r w:rsidRPr="00C0783B">
        <w:t xml:space="preserve">The 2020 study ‘Lived experience and social, health and economic impacts </w:t>
      </w:r>
      <w:r w:rsidRPr="00C0783B">
        <w:lastRenderedPageBreak/>
        <w:t>of accessible housing’, conducted by the University of Melbourne’s Dr Ilan Wiesel, highlighted the broad range of consequences of inaccessible housing.</w:t>
      </w:r>
      <w:r>
        <w:rPr>
          <w:rStyle w:val="FootnoteReference"/>
        </w:rPr>
        <w:footnoteReference w:id="10"/>
      </w:r>
      <w:r w:rsidRPr="00C0783B">
        <w:t xml:space="preserve"> Almost one third of respondents to the study’s questionnaire indicated it had led to the loss of a job, a missed work opportunity, reduced work hours, or reduced productivity, while more than 80 per cent agreed or strongly agreed they cannot visit family or friends’ homes due to inaccessibility.</w:t>
      </w:r>
    </w:p>
    <w:p w14:paraId="76927028" w14:textId="409B7C32" w:rsidR="00B63EC9" w:rsidRPr="007F3039" w:rsidRDefault="00E65BFD" w:rsidP="007F3039">
      <w:pPr>
        <w:spacing w:after="160"/>
        <w:jc w:val="both"/>
        <w:rPr>
          <w:rStyle w:val="eop"/>
        </w:rPr>
      </w:pPr>
      <w:r w:rsidRPr="009F7FAF">
        <w:rPr>
          <w:rStyle w:val="normaltextrun"/>
          <w:rFonts w:ascii="Calibri" w:hAnsi="Calibri" w:cs="Calibri"/>
        </w:rPr>
        <w:t>It is important to dispel a</w:t>
      </w:r>
      <w:r>
        <w:rPr>
          <w:rStyle w:val="normaltextrun"/>
          <w:rFonts w:ascii="Calibri" w:hAnsi="Calibri" w:cs="Calibri"/>
        </w:rPr>
        <w:t xml:space="preserve"> common</w:t>
      </w:r>
      <w:r w:rsidRPr="009F7FAF">
        <w:rPr>
          <w:rStyle w:val="normaltextrun"/>
          <w:rFonts w:ascii="Calibri" w:hAnsi="Calibri" w:cs="Calibri"/>
        </w:rPr>
        <w:t xml:space="preserve"> misunderstanding</w:t>
      </w:r>
      <w:r>
        <w:rPr>
          <w:rStyle w:val="normaltextrun"/>
          <w:rFonts w:ascii="Calibri" w:hAnsi="Calibri" w:cs="Calibri"/>
        </w:rPr>
        <w:t xml:space="preserve"> about housing for people living with disability</w:t>
      </w:r>
      <w:r w:rsidRPr="009F7FAF">
        <w:rPr>
          <w:rStyle w:val="normaltextrun"/>
          <w:rFonts w:ascii="Calibri" w:hAnsi="Calibri" w:cs="Calibri"/>
        </w:rPr>
        <w:t xml:space="preserve">: the National Disability Insurance Scheme (NDIS) does not provide housing support for </w:t>
      </w:r>
      <w:proofErr w:type="gramStart"/>
      <w:r w:rsidRPr="009F7FAF">
        <w:rPr>
          <w:rStyle w:val="normaltextrun"/>
          <w:rFonts w:ascii="Calibri" w:hAnsi="Calibri" w:cs="Calibri"/>
        </w:rPr>
        <w:t>the vast majority of</w:t>
      </w:r>
      <w:proofErr w:type="gramEnd"/>
      <w:r w:rsidRPr="009F7FAF">
        <w:rPr>
          <w:rStyle w:val="normaltextrun"/>
          <w:rFonts w:ascii="Calibri" w:hAnsi="Calibri" w:cs="Calibri"/>
        </w:rPr>
        <w:t xml:space="preserve"> participants. </w:t>
      </w:r>
      <w:r w:rsidRPr="00D10733">
        <w:t>J</w:t>
      </w:r>
      <w:r>
        <w:t>ust over 610,000</w:t>
      </w:r>
      <w:r w:rsidRPr="00D10733">
        <w:t xml:space="preserve"> people have a personal NDIS plan, according to the National Disability Insurance Agency’s (NDIA) quarterly report for </w:t>
      </w:r>
      <w:r>
        <w:t>April to June 2023</w:t>
      </w:r>
      <w:r w:rsidRPr="00D10733">
        <w:t xml:space="preserve">. Of these, </w:t>
      </w:r>
      <w:r>
        <w:t>about</w:t>
      </w:r>
      <w:r w:rsidRPr="00D10733">
        <w:t xml:space="preserve"> 2</w:t>
      </w:r>
      <w:r>
        <w:t>3</w:t>
      </w:r>
      <w:r w:rsidRPr="00D10733">
        <w:t>,000 live in Specialist Disability Accommodation (SDA).</w:t>
      </w:r>
      <w:r w:rsidRPr="00D10733">
        <w:rPr>
          <w:rStyle w:val="FootnoteReference"/>
        </w:rPr>
        <w:footnoteReference w:id="11"/>
      </w:r>
      <w:r w:rsidRPr="00D10733">
        <w:t xml:space="preserve"> This</w:t>
      </w:r>
      <w:r>
        <w:t xml:space="preserve"> leaves more than 96 per cent of NDIS participants – and millions more Australians living with disability – to navigate the mainstream housing market where the supply of accessible affordable dwellings is well below current demand. It is essential that the housing market and social housing options in Greater Adelaide cater to the needs of all residents, including those living with disability, without discrimination or segregation.</w:t>
      </w:r>
      <w:r w:rsidR="007F3039">
        <w:t xml:space="preserve"> </w:t>
      </w:r>
      <w:r w:rsidR="007F3039" w:rsidRPr="009F7FAF">
        <w:rPr>
          <w:rStyle w:val="normaltextrun"/>
          <w:rFonts w:ascii="Calibri" w:hAnsi="Calibri" w:cs="Calibri"/>
        </w:rPr>
        <w:t>To be clear, the NDIS does not, and was never intended to, fill this significant housing gap.</w:t>
      </w:r>
    </w:p>
    <w:p w14:paraId="502D8299" w14:textId="532654D1" w:rsidR="007F3039" w:rsidRDefault="007F3039" w:rsidP="007F3039">
      <w:pPr>
        <w:spacing w:after="160"/>
        <w:jc w:val="both"/>
      </w:pPr>
      <w:r>
        <w:t xml:space="preserve">Our population is </w:t>
      </w:r>
      <w:r w:rsidR="008D1026">
        <w:t xml:space="preserve">also </w:t>
      </w:r>
      <w:r>
        <w:t xml:space="preserve">rapidly ageing, with many people increasingly looking for housing options that allow them to ‘age in place’ and remain connected to their local communities. Institutional settings like nursing homes no longer meet the expectations of most people for their retirement and older years. </w:t>
      </w:r>
      <w:r w:rsidRPr="00715221">
        <w:t>Australian Bureau of Statistics</w:t>
      </w:r>
      <w:r>
        <w:t xml:space="preserve"> (ABS) data indicates the portion of Australians aged 65 and older in 2020 was about 12 per cent.</w:t>
      </w:r>
      <w:r>
        <w:rPr>
          <w:rStyle w:val="FootnoteReference"/>
        </w:rPr>
        <w:footnoteReference w:id="12"/>
      </w:r>
      <w:r>
        <w:t xml:space="preserve"> By 2066, the ABS predicts that figure will be almost a quarter of Australia’s population, including about 4.4 per cent likely to be aged over 85.</w:t>
      </w:r>
      <w:r>
        <w:rPr>
          <w:rStyle w:val="FootnoteReference"/>
        </w:rPr>
        <w:footnoteReference w:id="13"/>
      </w:r>
      <w:r>
        <w:t xml:space="preserve"> To accommodate this significant change, houses and apartments will need to be much more accessible than most existing stock. Houses and apartments built now are highly likely to still be in use well beyond 2066. Hence, there is an </w:t>
      </w:r>
      <w:r>
        <w:lastRenderedPageBreak/>
        <w:t xml:space="preserve">urgent need to adopt accessible design standards </w:t>
      </w:r>
      <w:proofErr w:type="gramStart"/>
      <w:r>
        <w:t>in order to</w:t>
      </w:r>
      <w:proofErr w:type="gramEnd"/>
      <w:r>
        <w:t xml:space="preserve"> begin to futureproof residential dwellings. Otherwise, governments and individuals will face the exponentially higher costs of retrofitting accessibility features to these dwellings in the future.</w:t>
      </w:r>
    </w:p>
    <w:p w14:paraId="0E663B28" w14:textId="2B88451D" w:rsidR="007D1D1D" w:rsidRDefault="003062D4" w:rsidP="004077B2">
      <w:pPr>
        <w:pStyle w:val="paragraph"/>
        <w:spacing w:before="0" w:beforeAutospacing="0" w:after="160" w:afterAutospacing="0" w:line="360" w:lineRule="auto"/>
        <w:textAlignment w:val="baseline"/>
        <w:rPr>
          <w:rStyle w:val="normaltextrun"/>
          <w:rFonts w:ascii="Calibri" w:hAnsi="Calibri" w:cs="Calibri"/>
          <w:lang w:val="en-GB"/>
        </w:rPr>
      </w:pPr>
      <w:r>
        <w:rPr>
          <w:rStyle w:val="normaltextrun"/>
          <w:rFonts w:ascii="Calibri" w:hAnsi="Calibri" w:cs="Calibri"/>
          <w:lang w:val="en-GB"/>
        </w:rPr>
        <w:t xml:space="preserve">Every person in Greater Adelaide is likely to benefit from </w:t>
      </w:r>
      <w:r w:rsidR="00501482">
        <w:rPr>
          <w:rStyle w:val="normaltextrun"/>
          <w:rFonts w:ascii="Calibri" w:hAnsi="Calibri" w:cs="Calibri"/>
          <w:lang w:val="en-GB"/>
        </w:rPr>
        <w:t xml:space="preserve">housing that is accessible at some stage in their lives. </w:t>
      </w:r>
      <w:r w:rsidR="00B63EC9" w:rsidRPr="009F7FAF">
        <w:rPr>
          <w:rStyle w:val="normaltextrun"/>
          <w:rFonts w:ascii="Calibri" w:hAnsi="Calibri" w:cs="Calibri"/>
          <w:lang w:val="en-GB"/>
        </w:rPr>
        <w:t>Accessible housing is not just about people living with ambulant disability; it is about ageing in place, it is about young families, it is about anyone who has ever</w:t>
      </w:r>
      <w:r w:rsidR="0095218C">
        <w:rPr>
          <w:rStyle w:val="normaltextrun"/>
          <w:rFonts w:ascii="Calibri" w:hAnsi="Calibri" w:cs="Calibri"/>
          <w:lang w:val="en-GB"/>
        </w:rPr>
        <w:t>,</w:t>
      </w:r>
      <w:r w:rsidR="00B63EC9" w:rsidRPr="009F7FAF">
        <w:rPr>
          <w:rStyle w:val="normaltextrun"/>
          <w:rFonts w:ascii="Calibri" w:hAnsi="Calibri" w:cs="Calibri"/>
          <w:lang w:val="en-GB"/>
        </w:rPr>
        <w:t xml:space="preserve"> or will ever</w:t>
      </w:r>
      <w:r w:rsidR="0095218C">
        <w:rPr>
          <w:rStyle w:val="normaltextrun"/>
          <w:rFonts w:ascii="Calibri" w:hAnsi="Calibri" w:cs="Calibri"/>
          <w:lang w:val="en-GB"/>
        </w:rPr>
        <w:t>,</w:t>
      </w:r>
      <w:r w:rsidR="00B63EC9" w:rsidRPr="009F7FAF">
        <w:rPr>
          <w:rStyle w:val="normaltextrun"/>
          <w:rFonts w:ascii="Calibri" w:hAnsi="Calibri" w:cs="Calibri"/>
          <w:lang w:val="en-GB"/>
        </w:rPr>
        <w:t xml:space="preserve"> experience </w:t>
      </w:r>
      <w:r w:rsidR="006641E0">
        <w:rPr>
          <w:rStyle w:val="normaltextrun"/>
          <w:rFonts w:ascii="Calibri" w:hAnsi="Calibri" w:cs="Calibri"/>
          <w:lang w:val="en-GB"/>
        </w:rPr>
        <w:t>any</w:t>
      </w:r>
      <w:r w:rsidR="00B63EC9" w:rsidRPr="009F7FAF">
        <w:rPr>
          <w:rStyle w:val="normaltextrun"/>
          <w:rFonts w:ascii="Calibri" w:hAnsi="Calibri" w:cs="Calibri"/>
          <w:lang w:val="en-GB"/>
        </w:rPr>
        <w:t xml:space="preserve"> form of temporary injury, it is for people who develop unexpected disease or illness, it is about people with someone with disability in their lives who </w:t>
      </w:r>
      <w:r w:rsidR="00465EC2">
        <w:rPr>
          <w:rStyle w:val="normaltextrun"/>
          <w:rFonts w:ascii="Calibri" w:hAnsi="Calibri" w:cs="Calibri"/>
          <w:lang w:val="en-GB"/>
        </w:rPr>
        <w:t>wants to</w:t>
      </w:r>
      <w:r w:rsidR="00B63EC9" w:rsidRPr="009F7FAF">
        <w:rPr>
          <w:rStyle w:val="normaltextrun"/>
          <w:rFonts w:ascii="Calibri" w:hAnsi="Calibri" w:cs="Calibri"/>
          <w:lang w:val="en-GB"/>
        </w:rPr>
        <w:t xml:space="preserve"> visit </w:t>
      </w:r>
      <w:r w:rsidR="00465EC2">
        <w:rPr>
          <w:rStyle w:val="normaltextrun"/>
          <w:rFonts w:ascii="Calibri" w:hAnsi="Calibri" w:cs="Calibri"/>
          <w:lang w:val="en-GB"/>
        </w:rPr>
        <w:t xml:space="preserve">– it </w:t>
      </w:r>
      <w:r w:rsidR="00B63EC9" w:rsidRPr="009F7FAF">
        <w:rPr>
          <w:rStyle w:val="normaltextrun"/>
          <w:rFonts w:ascii="Calibri" w:hAnsi="Calibri" w:cs="Calibri"/>
          <w:lang w:val="en-GB"/>
        </w:rPr>
        <w:t>is about everyone.</w:t>
      </w:r>
      <w:r w:rsidR="00B63EC9" w:rsidRPr="009F7FAF">
        <w:rPr>
          <w:rStyle w:val="normaltextrun"/>
          <w:rFonts w:ascii="Calibri" w:hAnsi="Calibri" w:cs="Calibri"/>
        </w:rPr>
        <w:t> </w:t>
      </w:r>
      <w:r w:rsidR="00B63EC9" w:rsidRPr="009F7FAF">
        <w:rPr>
          <w:rStyle w:val="normaltextrun"/>
          <w:rFonts w:ascii="Calibri" w:hAnsi="Calibri" w:cs="Calibri"/>
          <w:lang w:val="en-GB"/>
        </w:rPr>
        <w:t xml:space="preserve">A change in life circumstances happens every day, sometimes it is for happier circumstances – like having a child – but for many it will be for </w:t>
      </w:r>
      <w:r w:rsidR="00523D53">
        <w:rPr>
          <w:rStyle w:val="normaltextrun"/>
          <w:rFonts w:ascii="Calibri" w:hAnsi="Calibri" w:cs="Calibri"/>
          <w:lang w:val="en-GB"/>
        </w:rPr>
        <w:t>more challenging</w:t>
      </w:r>
      <w:r w:rsidR="00B63EC9" w:rsidRPr="009F7FAF">
        <w:rPr>
          <w:rStyle w:val="normaltextrun"/>
          <w:rFonts w:ascii="Calibri" w:hAnsi="Calibri" w:cs="Calibri"/>
          <w:lang w:val="en-GB"/>
        </w:rPr>
        <w:t xml:space="preserve"> circumstances, like a motor vehicle accident </w:t>
      </w:r>
      <w:r w:rsidR="00CC6398">
        <w:rPr>
          <w:rStyle w:val="normaltextrun"/>
          <w:rFonts w:ascii="Calibri" w:hAnsi="Calibri" w:cs="Calibri"/>
          <w:lang w:val="en-GB"/>
        </w:rPr>
        <w:t>that causes injury</w:t>
      </w:r>
      <w:r w:rsidR="0031527A">
        <w:rPr>
          <w:rStyle w:val="normaltextrun"/>
          <w:rFonts w:ascii="Calibri" w:hAnsi="Calibri" w:cs="Calibri"/>
          <w:lang w:val="en-GB"/>
        </w:rPr>
        <w:t xml:space="preserve">, </w:t>
      </w:r>
      <w:r w:rsidR="0030063F">
        <w:rPr>
          <w:rStyle w:val="normaltextrun"/>
          <w:rFonts w:ascii="Calibri" w:hAnsi="Calibri" w:cs="Calibri"/>
          <w:lang w:val="en-GB"/>
        </w:rPr>
        <w:t>a medical event such as stroke,</w:t>
      </w:r>
      <w:r w:rsidR="00D13B85">
        <w:rPr>
          <w:rStyle w:val="normaltextrun"/>
          <w:rFonts w:ascii="Calibri" w:hAnsi="Calibri" w:cs="Calibri"/>
          <w:lang w:val="en-GB"/>
        </w:rPr>
        <w:t xml:space="preserve"> </w:t>
      </w:r>
      <w:r w:rsidR="00B63EC9" w:rsidRPr="009F7FAF">
        <w:rPr>
          <w:rStyle w:val="normaltextrun"/>
          <w:rFonts w:ascii="Calibri" w:hAnsi="Calibri" w:cs="Calibri"/>
          <w:lang w:val="en-GB"/>
        </w:rPr>
        <w:t xml:space="preserve">or being diagnosed with </w:t>
      </w:r>
      <w:r w:rsidR="00CC6398">
        <w:rPr>
          <w:rStyle w:val="normaltextrun"/>
          <w:rFonts w:ascii="Calibri" w:hAnsi="Calibri" w:cs="Calibri"/>
          <w:lang w:val="en-GB"/>
        </w:rPr>
        <w:t xml:space="preserve">an illness such as </w:t>
      </w:r>
      <w:r w:rsidR="00B63EC9" w:rsidRPr="009F7FAF">
        <w:rPr>
          <w:rStyle w:val="normaltextrun"/>
          <w:rFonts w:ascii="Calibri" w:hAnsi="Calibri" w:cs="Calibri"/>
          <w:lang w:val="en-GB"/>
        </w:rPr>
        <w:t>Motor Neurone Disease (MND). When this happens</w:t>
      </w:r>
      <w:r w:rsidR="00CC6398">
        <w:rPr>
          <w:rStyle w:val="normaltextrun"/>
          <w:rFonts w:ascii="Calibri" w:hAnsi="Calibri" w:cs="Calibri"/>
          <w:lang w:val="en-GB"/>
        </w:rPr>
        <w:t>,</w:t>
      </w:r>
      <w:r w:rsidR="00B63EC9" w:rsidRPr="009F7FAF">
        <w:rPr>
          <w:rStyle w:val="normaltextrun"/>
          <w:rFonts w:ascii="Calibri" w:hAnsi="Calibri" w:cs="Calibri"/>
          <w:lang w:val="en-GB"/>
        </w:rPr>
        <w:t xml:space="preserve"> living in a house with basic accessibility features reduces the </w:t>
      </w:r>
      <w:r w:rsidR="00CC6398">
        <w:rPr>
          <w:rStyle w:val="normaltextrun"/>
          <w:rFonts w:ascii="Calibri" w:hAnsi="Calibri" w:cs="Calibri"/>
          <w:lang w:val="en-GB"/>
        </w:rPr>
        <w:t>stress</w:t>
      </w:r>
      <w:r w:rsidR="00B63EC9" w:rsidRPr="009F7FAF">
        <w:rPr>
          <w:rStyle w:val="normaltextrun"/>
          <w:rFonts w:ascii="Calibri" w:hAnsi="Calibri" w:cs="Calibri"/>
          <w:lang w:val="en-GB"/>
        </w:rPr>
        <w:t>, cost</w:t>
      </w:r>
      <w:r w:rsidR="00CC6398">
        <w:rPr>
          <w:rStyle w:val="normaltextrun"/>
          <w:rFonts w:ascii="Calibri" w:hAnsi="Calibri" w:cs="Calibri"/>
          <w:lang w:val="en-GB"/>
        </w:rPr>
        <w:t>,</w:t>
      </w:r>
      <w:r w:rsidR="00B63EC9" w:rsidRPr="009F7FAF">
        <w:rPr>
          <w:rStyle w:val="normaltextrun"/>
          <w:rFonts w:ascii="Calibri" w:hAnsi="Calibri" w:cs="Calibri"/>
          <w:lang w:val="en-GB"/>
        </w:rPr>
        <w:t xml:space="preserve"> and hardship of that change. Struggles people face with changes in their lives, good or bad, and the costs associated with these changes, can be largely avoided </w:t>
      </w:r>
      <w:r w:rsidR="00613421">
        <w:rPr>
          <w:rStyle w:val="normaltextrun"/>
          <w:rFonts w:ascii="Calibri" w:hAnsi="Calibri" w:cs="Calibri"/>
          <w:lang w:val="en-GB"/>
        </w:rPr>
        <w:t>through</w:t>
      </w:r>
      <w:r w:rsidR="00B63EC9" w:rsidRPr="009F7FAF">
        <w:rPr>
          <w:rStyle w:val="normaltextrun"/>
          <w:rFonts w:ascii="Calibri" w:hAnsi="Calibri" w:cs="Calibri"/>
          <w:lang w:val="en-GB"/>
        </w:rPr>
        <w:t xml:space="preserve"> the implementation of </w:t>
      </w:r>
      <w:r w:rsidR="00613421">
        <w:rPr>
          <w:rStyle w:val="normaltextrun"/>
          <w:rFonts w:ascii="Calibri" w:hAnsi="Calibri" w:cs="Calibri"/>
          <w:lang w:val="en-GB"/>
        </w:rPr>
        <w:t xml:space="preserve">basic </w:t>
      </w:r>
      <w:r w:rsidR="00B63EC9" w:rsidRPr="009F7FAF">
        <w:rPr>
          <w:rStyle w:val="normaltextrun"/>
          <w:rFonts w:ascii="Calibri" w:hAnsi="Calibri" w:cs="Calibri"/>
          <w:lang w:val="en-GB"/>
        </w:rPr>
        <w:t>accessibility features</w:t>
      </w:r>
      <w:r w:rsidR="00613421">
        <w:rPr>
          <w:rStyle w:val="normaltextrun"/>
          <w:rFonts w:ascii="Calibri" w:hAnsi="Calibri" w:cs="Calibri"/>
          <w:lang w:val="en-GB"/>
        </w:rPr>
        <w:t xml:space="preserve"> in housing design and </w:t>
      </w:r>
      <w:r w:rsidR="00653F96">
        <w:rPr>
          <w:rStyle w:val="normaltextrun"/>
          <w:rFonts w:ascii="Calibri" w:hAnsi="Calibri" w:cs="Calibri"/>
          <w:lang w:val="en-GB"/>
        </w:rPr>
        <w:t>construction</w:t>
      </w:r>
      <w:r w:rsidR="007D1D1D">
        <w:rPr>
          <w:rStyle w:val="normaltextrun"/>
          <w:rFonts w:ascii="Calibri" w:hAnsi="Calibri" w:cs="Calibri"/>
          <w:lang w:val="en-GB"/>
        </w:rPr>
        <w:t xml:space="preserve">. </w:t>
      </w:r>
    </w:p>
    <w:p w14:paraId="2568C851" w14:textId="44EEE38E" w:rsidR="007D1D1D" w:rsidRDefault="007D1D1D" w:rsidP="004077B2">
      <w:pPr>
        <w:pStyle w:val="paragraph"/>
        <w:spacing w:before="0" w:beforeAutospacing="0" w:after="160" w:afterAutospacing="0" w:line="360" w:lineRule="auto"/>
        <w:textAlignment w:val="baseline"/>
        <w:rPr>
          <w:rFonts w:asciiTheme="minorHAnsi" w:hAnsiTheme="minorHAnsi" w:cstheme="minorHAnsi"/>
          <w:b/>
          <w:bCs/>
          <w:color w:val="000000" w:themeColor="text1"/>
        </w:rPr>
      </w:pPr>
      <w:bookmarkStart w:id="18" w:name="_Hlk150179626"/>
      <w:r w:rsidRPr="007D1D1D">
        <w:rPr>
          <w:rStyle w:val="Heading4Char"/>
          <w:rFonts w:asciiTheme="minorHAnsi" w:hAnsiTheme="minorHAnsi"/>
          <w:szCs w:val="24"/>
        </w:rPr>
        <w:t xml:space="preserve">Recommendation </w:t>
      </w:r>
      <w:r w:rsidR="00BA015F">
        <w:rPr>
          <w:rStyle w:val="Heading4Char"/>
          <w:rFonts w:asciiTheme="minorHAnsi" w:hAnsiTheme="minorHAnsi"/>
          <w:szCs w:val="24"/>
        </w:rPr>
        <w:t>1</w:t>
      </w:r>
      <w:r w:rsidR="00EC454C">
        <w:rPr>
          <w:rStyle w:val="Heading4Char"/>
          <w:rFonts w:asciiTheme="minorHAnsi" w:hAnsiTheme="minorHAnsi"/>
          <w:szCs w:val="24"/>
        </w:rPr>
        <w:t>2</w:t>
      </w:r>
      <w:r w:rsidRPr="007D1D1D">
        <w:rPr>
          <w:rStyle w:val="Heading4Char"/>
          <w:rFonts w:asciiTheme="minorHAnsi" w:hAnsiTheme="minorHAnsi"/>
          <w:szCs w:val="24"/>
        </w:rPr>
        <w:t>:</w:t>
      </w:r>
      <w:r w:rsidRPr="007D1D1D">
        <w:rPr>
          <w:rFonts w:asciiTheme="minorHAnsi" w:hAnsiTheme="minorHAnsi" w:cstheme="minorHAnsi"/>
          <w:b/>
        </w:rPr>
        <w:t xml:space="preserve"> </w:t>
      </w:r>
      <w:r w:rsidRPr="007D1D1D">
        <w:rPr>
          <w:rFonts w:asciiTheme="minorHAnsi" w:hAnsiTheme="minorHAnsi" w:cstheme="minorHAnsi"/>
          <w:b/>
          <w:bCs/>
          <w:color w:val="000000" w:themeColor="text1"/>
        </w:rPr>
        <w:t xml:space="preserve">The </w:t>
      </w:r>
      <w:r w:rsidRPr="007D1D1D">
        <w:rPr>
          <w:rFonts w:asciiTheme="minorHAnsi" w:hAnsiTheme="minorHAnsi" w:cstheme="minorHAnsi"/>
          <w:b/>
          <w:bCs/>
        </w:rPr>
        <w:t>Greater Adelaide Regional Plan</w:t>
      </w:r>
      <w:r w:rsidRPr="007D1D1D">
        <w:rPr>
          <w:rFonts w:asciiTheme="minorHAnsi" w:hAnsiTheme="minorHAnsi" w:cstheme="minorHAnsi"/>
          <w:b/>
          <w:bCs/>
          <w:color w:val="000000" w:themeColor="text1"/>
        </w:rPr>
        <w:t xml:space="preserve"> (GARP) should</w:t>
      </w:r>
      <w:r>
        <w:rPr>
          <w:rFonts w:asciiTheme="minorHAnsi" w:hAnsiTheme="minorHAnsi" w:cstheme="minorHAnsi"/>
          <w:b/>
          <w:bCs/>
          <w:color w:val="000000" w:themeColor="text1"/>
        </w:rPr>
        <w:t xml:space="preserve"> include an outcome and associated targets to increase the supply of accessible </w:t>
      </w:r>
      <w:r w:rsidR="004A1FE0">
        <w:rPr>
          <w:rFonts w:asciiTheme="minorHAnsi" w:hAnsiTheme="minorHAnsi" w:cstheme="minorHAnsi"/>
          <w:b/>
          <w:bCs/>
          <w:color w:val="000000" w:themeColor="text1"/>
        </w:rPr>
        <w:t>dwellings in the region</w:t>
      </w:r>
      <w:r w:rsidR="00FA7671">
        <w:rPr>
          <w:rFonts w:asciiTheme="minorHAnsi" w:hAnsiTheme="minorHAnsi" w:cstheme="minorHAnsi"/>
          <w:b/>
          <w:bCs/>
          <w:color w:val="000000" w:themeColor="text1"/>
        </w:rPr>
        <w:t>,</w:t>
      </w:r>
      <w:r w:rsidR="008A51BE">
        <w:rPr>
          <w:rFonts w:asciiTheme="minorHAnsi" w:hAnsiTheme="minorHAnsi" w:cstheme="minorHAnsi"/>
          <w:b/>
          <w:bCs/>
          <w:color w:val="000000" w:themeColor="text1"/>
        </w:rPr>
        <w:t xml:space="preserve"> including for both private market and social housing</w:t>
      </w:r>
      <w:r w:rsidR="006344D1">
        <w:rPr>
          <w:rFonts w:asciiTheme="minorHAnsi" w:hAnsiTheme="minorHAnsi" w:cstheme="minorHAnsi"/>
          <w:b/>
          <w:bCs/>
          <w:color w:val="000000" w:themeColor="text1"/>
        </w:rPr>
        <w:t>.</w:t>
      </w:r>
      <w:bookmarkEnd w:id="18"/>
    </w:p>
    <w:p w14:paraId="10E55891" w14:textId="77777777" w:rsidR="00BA1B78" w:rsidRDefault="00BA1B78" w:rsidP="004077B2">
      <w:pPr>
        <w:spacing w:after="160"/>
      </w:pPr>
    </w:p>
    <w:p w14:paraId="147D5EF5" w14:textId="37ABE52E" w:rsidR="001D6634" w:rsidRDefault="001D6634" w:rsidP="004077B2">
      <w:pPr>
        <w:pStyle w:val="Heading2"/>
        <w:spacing w:after="160" w:line="360" w:lineRule="auto"/>
      </w:pPr>
      <w:bookmarkStart w:id="19" w:name="_Toc150180120"/>
      <w:r>
        <w:t xml:space="preserve">Implementing the NCC </w:t>
      </w:r>
      <w:proofErr w:type="spellStart"/>
      <w:r>
        <w:t>Li</w:t>
      </w:r>
      <w:r w:rsidR="00BA1B78">
        <w:t>vable</w:t>
      </w:r>
      <w:proofErr w:type="spellEnd"/>
      <w:r w:rsidR="00BA1B78">
        <w:t xml:space="preserve"> Housing Design Standard</w:t>
      </w:r>
      <w:bookmarkEnd w:id="19"/>
      <w:r w:rsidR="00BA1B78">
        <w:t xml:space="preserve"> </w:t>
      </w:r>
    </w:p>
    <w:p w14:paraId="46AEBDA5" w14:textId="7FD74041" w:rsidR="00244AA8" w:rsidRDefault="00E84A26" w:rsidP="004077B2">
      <w:pPr>
        <w:spacing w:after="16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JFA Purple Orange </w:t>
      </w:r>
      <w:r w:rsidR="009527F2">
        <w:rPr>
          <w:rStyle w:val="normaltextrun"/>
          <w:rFonts w:ascii="Calibri" w:hAnsi="Calibri" w:cs="Calibri"/>
          <w:color w:val="000000"/>
          <w:shd w:val="clear" w:color="auto" w:fill="FFFFFF"/>
        </w:rPr>
        <w:t>has welcomed</w:t>
      </w:r>
      <w:r>
        <w:rPr>
          <w:rStyle w:val="normaltextrun"/>
          <w:rFonts w:ascii="Calibri" w:hAnsi="Calibri" w:cs="Calibri"/>
          <w:color w:val="000000"/>
          <w:shd w:val="clear" w:color="auto" w:fill="FFFFFF"/>
        </w:rPr>
        <w:t xml:space="preserve"> the S</w:t>
      </w:r>
      <w:r w:rsidR="00F43952">
        <w:rPr>
          <w:rStyle w:val="normaltextrun"/>
          <w:rFonts w:ascii="Calibri" w:hAnsi="Calibri" w:cs="Calibri"/>
          <w:color w:val="000000"/>
          <w:shd w:val="clear" w:color="auto" w:fill="FFFFFF"/>
        </w:rPr>
        <w:t>outh Australian</w:t>
      </w:r>
      <w:r>
        <w:rPr>
          <w:rStyle w:val="normaltextrun"/>
          <w:rFonts w:ascii="Calibri" w:hAnsi="Calibri" w:cs="Calibri"/>
          <w:color w:val="000000"/>
          <w:shd w:val="clear" w:color="auto" w:fill="FFFFFF"/>
        </w:rPr>
        <w:t xml:space="preserve"> Government</w:t>
      </w:r>
      <w:r w:rsidR="009527F2">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commitment to implementing the new National Construction Code (NCC) 2022 </w:t>
      </w:r>
      <w:proofErr w:type="spellStart"/>
      <w:r>
        <w:rPr>
          <w:rStyle w:val="normaltextrun"/>
          <w:rFonts w:ascii="Calibri" w:hAnsi="Calibri" w:cs="Calibri"/>
          <w:color w:val="000000"/>
          <w:shd w:val="clear" w:color="auto" w:fill="FFFFFF"/>
        </w:rPr>
        <w:t>Livable</w:t>
      </w:r>
      <w:proofErr w:type="spellEnd"/>
      <w:r>
        <w:rPr>
          <w:rStyle w:val="normaltextrun"/>
          <w:rFonts w:ascii="Calibri" w:hAnsi="Calibri" w:cs="Calibri"/>
          <w:color w:val="000000"/>
          <w:shd w:val="clear" w:color="auto" w:fill="FFFFFF"/>
        </w:rPr>
        <w:t xml:space="preserve"> Housing Design (LHD) Standard </w:t>
      </w:r>
      <w:r w:rsidR="009527F2">
        <w:rPr>
          <w:rStyle w:val="normaltextrun"/>
          <w:rFonts w:ascii="Calibri" w:hAnsi="Calibri" w:cs="Calibri"/>
          <w:color w:val="000000"/>
          <w:shd w:val="clear" w:color="auto" w:fill="FFFFFF"/>
        </w:rPr>
        <w:t xml:space="preserve">(as well as the new energy </w:t>
      </w:r>
      <w:r w:rsidR="007A00B2">
        <w:rPr>
          <w:rStyle w:val="normaltextrun"/>
          <w:rFonts w:ascii="Calibri" w:hAnsi="Calibri" w:cs="Calibri"/>
          <w:color w:val="000000"/>
          <w:shd w:val="clear" w:color="auto" w:fill="FFFFFF"/>
        </w:rPr>
        <w:t>requirements</w:t>
      </w:r>
      <w:r w:rsidR="009527F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in South Australia</w:t>
      </w:r>
      <w:r w:rsidR="00EC241F">
        <w:rPr>
          <w:rStyle w:val="normaltextrun"/>
          <w:rFonts w:ascii="Calibri" w:hAnsi="Calibri" w:cs="Calibri"/>
          <w:color w:val="000000"/>
          <w:shd w:val="clear" w:color="auto" w:fill="FFFFFF"/>
        </w:rPr>
        <w:t xml:space="preserve"> by October 2024</w:t>
      </w:r>
      <w:r>
        <w:rPr>
          <w:rStyle w:val="normaltextrun"/>
          <w:rFonts w:ascii="Calibri" w:hAnsi="Calibri" w:cs="Calibri"/>
          <w:color w:val="000000"/>
          <w:shd w:val="clear" w:color="auto" w:fill="FFFFFF"/>
        </w:rPr>
        <w:t>. This is a crucial first step toward addressing the need for more accessible housing across our state and the nation</w:t>
      </w:r>
      <w:r w:rsidR="00501FDF">
        <w:rPr>
          <w:rStyle w:val="normaltextrun"/>
          <w:rFonts w:ascii="Calibri" w:hAnsi="Calibri" w:cs="Calibri"/>
          <w:color w:val="000000"/>
          <w:shd w:val="clear" w:color="auto" w:fill="FFFFFF"/>
        </w:rPr>
        <w:t>, as well as future proofing housing stock for our rapidly ageing population</w:t>
      </w:r>
      <w:r>
        <w:rPr>
          <w:rStyle w:val="normaltextrun"/>
          <w:rFonts w:ascii="Calibri" w:hAnsi="Calibri" w:cs="Calibri"/>
          <w:color w:val="000000"/>
          <w:shd w:val="clear" w:color="auto" w:fill="FFFFFF"/>
        </w:rPr>
        <w:t xml:space="preserve">. </w:t>
      </w:r>
      <w:r w:rsidR="00244AA8">
        <w:rPr>
          <w:rStyle w:val="normaltextrun"/>
          <w:rFonts w:ascii="Calibri" w:hAnsi="Calibri" w:cs="Calibri"/>
          <w:color w:val="000000"/>
          <w:shd w:val="clear" w:color="auto" w:fill="FFFFFF"/>
        </w:rPr>
        <w:t xml:space="preserve">Adapted from the ‘Silver’ level requirements of the </w:t>
      </w:r>
      <w:proofErr w:type="spellStart"/>
      <w:r w:rsidR="00244AA8">
        <w:rPr>
          <w:rStyle w:val="normaltextrun"/>
          <w:rFonts w:ascii="Calibri" w:hAnsi="Calibri" w:cs="Calibri"/>
          <w:color w:val="000000"/>
          <w:shd w:val="clear" w:color="auto" w:fill="FFFFFF"/>
        </w:rPr>
        <w:t>Livable</w:t>
      </w:r>
      <w:proofErr w:type="spellEnd"/>
      <w:r w:rsidR="00244AA8">
        <w:rPr>
          <w:rStyle w:val="normaltextrun"/>
          <w:rFonts w:ascii="Calibri" w:hAnsi="Calibri" w:cs="Calibri"/>
          <w:color w:val="000000"/>
          <w:shd w:val="clear" w:color="auto" w:fill="FFFFFF"/>
        </w:rPr>
        <w:t xml:space="preserve"> Housing Design Guidelines of </w:t>
      </w:r>
      <w:proofErr w:type="spellStart"/>
      <w:r w:rsidR="00244AA8">
        <w:rPr>
          <w:rStyle w:val="normaltextrun"/>
          <w:rFonts w:ascii="Calibri" w:hAnsi="Calibri" w:cs="Calibri"/>
          <w:color w:val="000000"/>
          <w:shd w:val="clear" w:color="auto" w:fill="FFFFFF"/>
        </w:rPr>
        <w:t>Livable</w:t>
      </w:r>
      <w:proofErr w:type="spellEnd"/>
      <w:r w:rsidR="00244AA8">
        <w:rPr>
          <w:rStyle w:val="normaltextrun"/>
          <w:rFonts w:ascii="Calibri" w:hAnsi="Calibri" w:cs="Calibri"/>
          <w:color w:val="000000"/>
          <w:shd w:val="clear" w:color="auto" w:fill="FFFFFF"/>
        </w:rPr>
        <w:t xml:space="preserve"> Housing Australia (LHA), the NCC Standard will ensure that residential properties are easier to enter and navigate in and around, as well as allowing further adaptations to be made later to suit a resident. Examples of these basic requirements are at </w:t>
      </w:r>
      <w:r w:rsidR="00244AA8">
        <w:rPr>
          <w:rStyle w:val="normaltextrun"/>
          <w:rFonts w:ascii="Calibri" w:hAnsi="Calibri" w:cs="Calibri"/>
          <w:color w:val="000000"/>
          <w:shd w:val="clear" w:color="auto" w:fill="FFFFFF"/>
        </w:rPr>
        <w:lastRenderedPageBreak/>
        <w:t xml:space="preserve">least one entrance without a step, a ground level toilet, a </w:t>
      </w:r>
      <w:proofErr w:type="spellStart"/>
      <w:r w:rsidR="00244AA8">
        <w:rPr>
          <w:rStyle w:val="normaltextrun"/>
          <w:rFonts w:ascii="Calibri" w:hAnsi="Calibri" w:cs="Calibri"/>
          <w:color w:val="000000"/>
          <w:shd w:val="clear" w:color="auto" w:fill="FFFFFF"/>
        </w:rPr>
        <w:t>hobless</w:t>
      </w:r>
      <w:proofErr w:type="spellEnd"/>
      <w:r w:rsidR="00244AA8">
        <w:rPr>
          <w:rStyle w:val="normaltextrun"/>
          <w:rFonts w:ascii="Calibri" w:hAnsi="Calibri" w:cs="Calibri"/>
          <w:color w:val="000000"/>
          <w:shd w:val="clear" w:color="auto" w:fill="FFFFFF"/>
        </w:rPr>
        <w:t xml:space="preserve"> shower recess, and reinforced walls so grabrails can be added later if needed. Building in line with the ‘Gold’ level requirements of the </w:t>
      </w:r>
      <w:proofErr w:type="spellStart"/>
      <w:r w:rsidR="00244AA8">
        <w:rPr>
          <w:rStyle w:val="normaltextrun"/>
          <w:rFonts w:ascii="Calibri" w:hAnsi="Calibri" w:cs="Calibri"/>
          <w:color w:val="000000"/>
          <w:shd w:val="clear" w:color="auto" w:fill="FFFFFF"/>
        </w:rPr>
        <w:t>Livable</w:t>
      </w:r>
      <w:proofErr w:type="spellEnd"/>
      <w:r w:rsidR="00244AA8">
        <w:rPr>
          <w:rStyle w:val="normaltextrun"/>
          <w:rFonts w:ascii="Calibri" w:hAnsi="Calibri" w:cs="Calibri"/>
          <w:color w:val="000000"/>
          <w:shd w:val="clear" w:color="auto" w:fill="FFFFFF"/>
        </w:rPr>
        <w:t xml:space="preserve"> Housing Design Guidelines remains voluntary, but would deliver significant additional accessibility particularly in kitchens, living areas, and bedrooms</w:t>
      </w:r>
      <w:r w:rsidR="001A217A">
        <w:rPr>
          <w:rStyle w:val="normaltextrun"/>
          <w:rFonts w:ascii="Calibri" w:hAnsi="Calibri" w:cs="Calibri"/>
          <w:color w:val="000000"/>
          <w:shd w:val="clear" w:color="auto" w:fill="FFFFFF"/>
        </w:rPr>
        <w:t>, as we address further below</w:t>
      </w:r>
      <w:r w:rsidR="00244AA8">
        <w:rPr>
          <w:rStyle w:val="normaltextrun"/>
          <w:rFonts w:ascii="Calibri" w:hAnsi="Calibri" w:cs="Calibri"/>
          <w:color w:val="000000"/>
          <w:shd w:val="clear" w:color="auto" w:fill="FFFFFF"/>
        </w:rPr>
        <w:t>.</w:t>
      </w:r>
      <w:r w:rsidR="00244AA8">
        <w:rPr>
          <w:rStyle w:val="eop"/>
          <w:rFonts w:ascii="Calibri" w:hAnsi="Calibri" w:cs="Calibri"/>
          <w:color w:val="000000"/>
          <w:shd w:val="clear" w:color="auto" w:fill="FFFFFF"/>
        </w:rPr>
        <w:t> </w:t>
      </w:r>
    </w:p>
    <w:p w14:paraId="539AD9D1" w14:textId="153653A7" w:rsidR="00271430" w:rsidRDefault="00501FDF" w:rsidP="004077B2">
      <w:pPr>
        <w:spacing w:after="16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As a member of the Ministerial Liaison Group Subcommittee, </w:t>
      </w:r>
      <w:r w:rsidR="001A217A">
        <w:rPr>
          <w:rStyle w:val="normaltextrun"/>
          <w:rFonts w:ascii="Calibri" w:hAnsi="Calibri" w:cs="Calibri"/>
          <w:color w:val="000000"/>
          <w:shd w:val="clear" w:color="auto" w:fill="FFFFFF"/>
        </w:rPr>
        <w:t>JFA Purple Orange</w:t>
      </w:r>
      <w:r>
        <w:rPr>
          <w:rStyle w:val="normaltextrun"/>
          <w:rFonts w:ascii="Calibri" w:hAnsi="Calibri" w:cs="Calibri"/>
          <w:color w:val="000000"/>
          <w:shd w:val="clear" w:color="auto" w:fill="FFFFFF"/>
        </w:rPr>
        <w:t xml:space="preserve"> ha</w:t>
      </w:r>
      <w:r w:rsidR="001A217A">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appreciated the opportunity to participate in conversations with the housing industry peaks </w:t>
      </w:r>
      <w:r w:rsidR="00A46C56">
        <w:rPr>
          <w:rStyle w:val="normaltextrun"/>
          <w:rFonts w:ascii="Calibri" w:hAnsi="Calibri" w:cs="Calibri"/>
          <w:color w:val="000000"/>
          <w:shd w:val="clear" w:color="auto" w:fill="FFFFFF"/>
        </w:rPr>
        <w:t>a</w:t>
      </w:r>
      <w:r w:rsidR="002256E4">
        <w:rPr>
          <w:rStyle w:val="normaltextrun"/>
          <w:rFonts w:ascii="Calibri" w:hAnsi="Calibri" w:cs="Calibri"/>
          <w:color w:val="000000"/>
          <w:shd w:val="clear" w:color="auto" w:fill="FFFFFF"/>
        </w:rPr>
        <w:t>bout</w:t>
      </w:r>
      <w:r>
        <w:rPr>
          <w:rStyle w:val="normaltextrun"/>
          <w:rFonts w:ascii="Calibri" w:hAnsi="Calibri" w:cs="Calibri"/>
          <w:color w:val="000000"/>
          <w:shd w:val="clear" w:color="auto" w:fill="FFFFFF"/>
        </w:rPr>
        <w:t xml:space="preserve"> p</w:t>
      </w:r>
      <w:r w:rsidR="00A46C56">
        <w:rPr>
          <w:rStyle w:val="normaltextrun"/>
          <w:rFonts w:ascii="Calibri" w:hAnsi="Calibri" w:cs="Calibri"/>
          <w:color w:val="000000"/>
          <w:shd w:val="clear" w:color="auto" w:fill="FFFFFF"/>
        </w:rPr>
        <w:t>otential</w:t>
      </w:r>
      <w:r>
        <w:rPr>
          <w:rStyle w:val="normaltextrun"/>
          <w:rFonts w:ascii="Calibri" w:hAnsi="Calibri" w:cs="Calibri"/>
          <w:color w:val="000000"/>
          <w:shd w:val="clear" w:color="auto" w:fill="FFFFFF"/>
        </w:rPr>
        <w:t xml:space="preserve"> concessions </w:t>
      </w:r>
      <w:r w:rsidR="00A46C56">
        <w:rPr>
          <w:rStyle w:val="normaltextrun"/>
          <w:rFonts w:ascii="Calibri" w:hAnsi="Calibri" w:cs="Calibri"/>
          <w:color w:val="000000"/>
          <w:shd w:val="clear" w:color="auto" w:fill="FFFFFF"/>
        </w:rPr>
        <w:t>to ensure they</w:t>
      </w:r>
      <w:r>
        <w:rPr>
          <w:rStyle w:val="normaltextrun"/>
          <w:rFonts w:ascii="Calibri" w:hAnsi="Calibri" w:cs="Calibri"/>
          <w:color w:val="000000"/>
          <w:shd w:val="clear" w:color="auto" w:fill="FFFFFF"/>
        </w:rPr>
        <w:t xml:space="preserve"> are sensible, necessary</w:t>
      </w:r>
      <w:r w:rsidR="00AF746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and </w:t>
      </w:r>
      <w:r w:rsidR="00FF56F1">
        <w:rPr>
          <w:rStyle w:val="normaltextrun"/>
          <w:rFonts w:ascii="Calibri" w:hAnsi="Calibri" w:cs="Calibri"/>
          <w:color w:val="000000"/>
          <w:shd w:val="clear" w:color="auto" w:fill="FFFFFF"/>
        </w:rPr>
        <w:t>evidence based</w:t>
      </w:r>
      <w:r>
        <w:rPr>
          <w:rStyle w:val="normaltextrun"/>
          <w:rFonts w:ascii="Calibri" w:hAnsi="Calibri" w:cs="Calibri"/>
          <w:color w:val="000000"/>
          <w:shd w:val="clear" w:color="auto" w:fill="FFFFFF"/>
        </w:rPr>
        <w:t xml:space="preserve">. It has been unfortunate that many discussions continue to circle back to </w:t>
      </w:r>
      <w:r w:rsidR="00C57AB2">
        <w:rPr>
          <w:rStyle w:val="normaltextrun"/>
          <w:rFonts w:ascii="Calibri" w:hAnsi="Calibri" w:cs="Calibri"/>
          <w:color w:val="000000"/>
          <w:shd w:val="clear" w:color="auto" w:fill="FFFFFF"/>
        </w:rPr>
        <w:t xml:space="preserve">proposing </w:t>
      </w:r>
      <w:r w:rsidR="00FE124A">
        <w:rPr>
          <w:rStyle w:val="normaltextrun"/>
          <w:rFonts w:ascii="Calibri" w:hAnsi="Calibri" w:cs="Calibri"/>
          <w:color w:val="000000"/>
          <w:shd w:val="clear" w:color="auto" w:fill="FFFFFF"/>
        </w:rPr>
        <w:t>‘</w:t>
      </w:r>
      <w:r w:rsidR="00C57AB2">
        <w:rPr>
          <w:rStyle w:val="normaltextrun"/>
          <w:rFonts w:ascii="Calibri" w:hAnsi="Calibri" w:cs="Calibri"/>
          <w:color w:val="000000"/>
          <w:shd w:val="clear" w:color="auto" w:fill="FFFFFF"/>
        </w:rPr>
        <w:t>blanket</w:t>
      </w:r>
      <w:r w:rsidR="00FE124A">
        <w:rPr>
          <w:rStyle w:val="normaltextrun"/>
          <w:rFonts w:ascii="Calibri" w:hAnsi="Calibri" w:cs="Calibri"/>
          <w:color w:val="000000"/>
          <w:shd w:val="clear" w:color="auto" w:fill="FFFFFF"/>
        </w:rPr>
        <w:t>’</w:t>
      </w:r>
      <w:r w:rsidR="00C57AB2">
        <w:rPr>
          <w:rStyle w:val="normaltextrun"/>
          <w:rFonts w:ascii="Calibri" w:hAnsi="Calibri" w:cs="Calibri"/>
          <w:color w:val="000000"/>
          <w:shd w:val="clear" w:color="auto" w:fill="FFFFFF"/>
        </w:rPr>
        <w:t xml:space="preserve"> exemptions on all elements of the NCC LHD</w:t>
      </w:r>
      <w:r w:rsidR="00875A2F">
        <w:rPr>
          <w:rStyle w:val="normaltextrun"/>
          <w:rFonts w:ascii="Calibri" w:hAnsi="Calibri" w:cs="Calibri"/>
          <w:color w:val="000000"/>
          <w:shd w:val="clear" w:color="auto" w:fill="FFFFFF"/>
        </w:rPr>
        <w:t xml:space="preserve"> when a property may </w:t>
      </w:r>
      <w:r w:rsidR="0090053A">
        <w:rPr>
          <w:rStyle w:val="normaltextrun"/>
          <w:rFonts w:ascii="Calibri" w:hAnsi="Calibri" w:cs="Calibri"/>
          <w:color w:val="000000"/>
          <w:shd w:val="clear" w:color="auto" w:fill="FFFFFF"/>
        </w:rPr>
        <w:t xml:space="preserve">present with an </w:t>
      </w:r>
      <w:r w:rsidR="006B09F7">
        <w:rPr>
          <w:rStyle w:val="normaltextrun"/>
          <w:rFonts w:ascii="Calibri" w:hAnsi="Calibri" w:cs="Calibri"/>
          <w:color w:val="000000"/>
          <w:shd w:val="clear" w:color="auto" w:fill="FFFFFF"/>
        </w:rPr>
        <w:t>evidence</w:t>
      </w:r>
      <w:r w:rsidR="0090053A">
        <w:rPr>
          <w:rStyle w:val="normaltextrun"/>
          <w:rFonts w:ascii="Calibri" w:hAnsi="Calibri" w:cs="Calibri"/>
          <w:color w:val="000000"/>
          <w:shd w:val="clear" w:color="auto" w:fill="FFFFFF"/>
        </w:rPr>
        <w:t>-</w:t>
      </w:r>
      <w:r w:rsidR="006B09F7">
        <w:rPr>
          <w:rStyle w:val="normaltextrun"/>
          <w:rFonts w:ascii="Calibri" w:hAnsi="Calibri" w:cs="Calibri"/>
          <w:color w:val="000000"/>
          <w:shd w:val="clear" w:color="auto" w:fill="FFFFFF"/>
        </w:rPr>
        <w:t xml:space="preserve">based reason </w:t>
      </w:r>
      <w:r w:rsidR="0090053A">
        <w:rPr>
          <w:rStyle w:val="normaltextrun"/>
          <w:rFonts w:ascii="Calibri" w:hAnsi="Calibri" w:cs="Calibri"/>
          <w:color w:val="000000"/>
          <w:shd w:val="clear" w:color="auto" w:fill="FFFFFF"/>
        </w:rPr>
        <w:t>for a</w:t>
      </w:r>
      <w:r w:rsidR="006B09F7">
        <w:rPr>
          <w:rStyle w:val="normaltextrun"/>
          <w:rFonts w:ascii="Calibri" w:hAnsi="Calibri" w:cs="Calibri"/>
          <w:color w:val="000000"/>
          <w:shd w:val="clear" w:color="auto" w:fill="FFFFFF"/>
        </w:rPr>
        <w:t xml:space="preserve"> concession </w:t>
      </w:r>
      <w:r w:rsidR="006540DF">
        <w:rPr>
          <w:rStyle w:val="normaltextrun"/>
          <w:rFonts w:ascii="Calibri" w:hAnsi="Calibri" w:cs="Calibri"/>
          <w:color w:val="000000"/>
          <w:shd w:val="clear" w:color="auto" w:fill="FFFFFF"/>
        </w:rPr>
        <w:t>on</w:t>
      </w:r>
      <w:r w:rsidR="006B09F7">
        <w:rPr>
          <w:rStyle w:val="normaltextrun"/>
          <w:rFonts w:ascii="Calibri" w:hAnsi="Calibri" w:cs="Calibri"/>
          <w:color w:val="000000"/>
          <w:shd w:val="clear" w:color="auto" w:fill="FFFFFF"/>
        </w:rPr>
        <w:t xml:space="preserve"> one element </w:t>
      </w:r>
      <w:r w:rsidR="0090053A">
        <w:rPr>
          <w:rStyle w:val="normaltextrun"/>
          <w:rFonts w:ascii="Calibri" w:hAnsi="Calibri" w:cs="Calibri"/>
          <w:color w:val="000000"/>
          <w:shd w:val="clear" w:color="auto" w:fill="FFFFFF"/>
        </w:rPr>
        <w:t xml:space="preserve">of </w:t>
      </w:r>
      <w:r w:rsidR="006B09F7">
        <w:rPr>
          <w:rStyle w:val="normaltextrun"/>
          <w:rFonts w:ascii="Calibri" w:hAnsi="Calibri" w:cs="Calibri"/>
          <w:color w:val="000000"/>
          <w:shd w:val="clear" w:color="auto" w:fill="FFFFFF"/>
        </w:rPr>
        <w:t>the LHD</w:t>
      </w:r>
      <w:r w:rsidR="0090053A">
        <w:rPr>
          <w:rStyle w:val="normaltextrun"/>
          <w:rFonts w:ascii="Calibri" w:hAnsi="Calibri" w:cs="Calibri"/>
          <w:color w:val="000000"/>
          <w:shd w:val="clear" w:color="auto" w:fill="FFFFFF"/>
        </w:rPr>
        <w:t xml:space="preserve"> Standard</w:t>
      </w:r>
      <w:r w:rsidR="006B09F7">
        <w:rPr>
          <w:rStyle w:val="normaltextrun"/>
          <w:rFonts w:ascii="Calibri" w:hAnsi="Calibri" w:cs="Calibri"/>
          <w:color w:val="000000"/>
          <w:shd w:val="clear" w:color="auto" w:fill="FFFFFF"/>
        </w:rPr>
        <w:t xml:space="preserve">. For example, </w:t>
      </w:r>
      <w:r w:rsidR="00AA62AD">
        <w:rPr>
          <w:rStyle w:val="normaltextrun"/>
          <w:rFonts w:ascii="Calibri" w:hAnsi="Calibri" w:cs="Calibri"/>
          <w:color w:val="000000"/>
          <w:shd w:val="clear" w:color="auto" w:fill="FFFFFF"/>
        </w:rPr>
        <w:t xml:space="preserve">if a step free entrance cannot meet </w:t>
      </w:r>
      <w:r w:rsidR="00AA62AD" w:rsidRPr="00CE794A">
        <w:rPr>
          <w:rStyle w:val="normaltextrun"/>
          <w:rFonts w:ascii="Calibri" w:hAnsi="Calibri" w:cs="Calibri"/>
          <w:color w:val="000000"/>
          <w:shd w:val="clear" w:color="auto" w:fill="FFFFFF"/>
        </w:rPr>
        <w:t xml:space="preserve">the 1:14 </w:t>
      </w:r>
      <w:r w:rsidR="00CE794A">
        <w:rPr>
          <w:rStyle w:val="normaltextrun"/>
          <w:rFonts w:ascii="Calibri" w:hAnsi="Calibri" w:cs="Calibri"/>
          <w:color w:val="000000"/>
          <w:shd w:val="clear" w:color="auto" w:fill="FFFFFF"/>
        </w:rPr>
        <w:t xml:space="preserve">maximum </w:t>
      </w:r>
      <w:r w:rsidR="00AA62AD" w:rsidRPr="00CE794A">
        <w:rPr>
          <w:rStyle w:val="normaltextrun"/>
          <w:rFonts w:ascii="Calibri" w:hAnsi="Calibri" w:cs="Calibri"/>
          <w:color w:val="000000"/>
          <w:shd w:val="clear" w:color="auto" w:fill="FFFFFF"/>
        </w:rPr>
        <w:t>gradient</w:t>
      </w:r>
      <w:r w:rsidR="00AA62AD">
        <w:rPr>
          <w:rStyle w:val="normaltextrun"/>
          <w:rFonts w:ascii="Calibri" w:hAnsi="Calibri" w:cs="Calibri"/>
          <w:color w:val="000000"/>
          <w:shd w:val="clear" w:color="auto" w:fill="FFFFFF"/>
        </w:rPr>
        <w:t xml:space="preserve"> from the footpath, garage</w:t>
      </w:r>
      <w:r w:rsidR="00625BC2">
        <w:rPr>
          <w:rStyle w:val="normaltextrun"/>
          <w:rFonts w:ascii="Calibri" w:hAnsi="Calibri" w:cs="Calibri"/>
          <w:color w:val="000000"/>
          <w:shd w:val="clear" w:color="auto" w:fill="FFFFFF"/>
        </w:rPr>
        <w:t>,</w:t>
      </w:r>
      <w:r w:rsidR="00AA62AD">
        <w:rPr>
          <w:rStyle w:val="normaltextrun"/>
          <w:rFonts w:ascii="Calibri" w:hAnsi="Calibri" w:cs="Calibri"/>
          <w:color w:val="000000"/>
          <w:shd w:val="clear" w:color="auto" w:fill="FFFFFF"/>
        </w:rPr>
        <w:t xml:space="preserve"> or car space then the </w:t>
      </w:r>
      <w:r w:rsidR="007C7A02">
        <w:rPr>
          <w:rStyle w:val="normaltextrun"/>
          <w:rFonts w:ascii="Calibri" w:hAnsi="Calibri" w:cs="Calibri"/>
          <w:color w:val="000000"/>
          <w:shd w:val="clear" w:color="auto" w:fill="FFFFFF"/>
        </w:rPr>
        <w:t>stance taken by</w:t>
      </w:r>
      <w:r w:rsidR="0090053A">
        <w:rPr>
          <w:rStyle w:val="normaltextrun"/>
          <w:rFonts w:ascii="Calibri" w:hAnsi="Calibri" w:cs="Calibri"/>
          <w:color w:val="000000"/>
          <w:shd w:val="clear" w:color="auto" w:fill="FFFFFF"/>
        </w:rPr>
        <w:t xml:space="preserve"> peak housing industry bodies</w:t>
      </w:r>
      <w:r w:rsidR="00AA62AD">
        <w:rPr>
          <w:rStyle w:val="normaltextrun"/>
          <w:rFonts w:ascii="Calibri" w:hAnsi="Calibri" w:cs="Calibri"/>
          <w:color w:val="000000"/>
          <w:shd w:val="clear" w:color="auto" w:fill="FFFFFF"/>
        </w:rPr>
        <w:t xml:space="preserve"> has been for the house to be exempt from all </w:t>
      </w:r>
      <w:r w:rsidR="004A464D">
        <w:rPr>
          <w:rStyle w:val="normaltextrun"/>
          <w:rFonts w:ascii="Calibri" w:hAnsi="Calibri" w:cs="Calibri"/>
          <w:color w:val="000000"/>
          <w:shd w:val="clear" w:color="auto" w:fill="FFFFFF"/>
        </w:rPr>
        <w:t>LHD</w:t>
      </w:r>
      <w:r w:rsidR="0090053A">
        <w:rPr>
          <w:rStyle w:val="normaltextrun"/>
          <w:rFonts w:ascii="Calibri" w:hAnsi="Calibri" w:cs="Calibri"/>
          <w:color w:val="000000"/>
          <w:shd w:val="clear" w:color="auto" w:fill="FFFFFF"/>
        </w:rPr>
        <w:t xml:space="preserve"> Standard </w:t>
      </w:r>
      <w:r w:rsidR="004A464D">
        <w:rPr>
          <w:rStyle w:val="normaltextrun"/>
          <w:rFonts w:ascii="Calibri" w:hAnsi="Calibri" w:cs="Calibri"/>
          <w:color w:val="000000"/>
          <w:shd w:val="clear" w:color="auto" w:fill="FFFFFF"/>
        </w:rPr>
        <w:t>elements</w:t>
      </w:r>
      <w:r w:rsidR="0090053A">
        <w:rPr>
          <w:rStyle w:val="normaltextrun"/>
          <w:rFonts w:ascii="Calibri" w:hAnsi="Calibri" w:cs="Calibri"/>
          <w:color w:val="000000"/>
          <w:shd w:val="clear" w:color="auto" w:fill="FFFFFF"/>
        </w:rPr>
        <w:t xml:space="preserve">, despite </w:t>
      </w:r>
      <w:r w:rsidR="007976B2">
        <w:rPr>
          <w:rStyle w:val="normaltextrun"/>
          <w:rFonts w:ascii="Calibri" w:hAnsi="Calibri" w:cs="Calibri"/>
          <w:color w:val="000000"/>
          <w:shd w:val="clear" w:color="auto" w:fill="FFFFFF"/>
        </w:rPr>
        <w:t xml:space="preserve">there being no </w:t>
      </w:r>
      <w:r w:rsidR="003777F6">
        <w:rPr>
          <w:rStyle w:val="normaltextrun"/>
          <w:rFonts w:ascii="Calibri" w:hAnsi="Calibri" w:cs="Calibri"/>
          <w:color w:val="000000"/>
          <w:shd w:val="clear" w:color="auto" w:fill="FFFFFF"/>
        </w:rPr>
        <w:t xml:space="preserve">evidence-based </w:t>
      </w:r>
      <w:r w:rsidR="00EA47F4">
        <w:rPr>
          <w:rStyle w:val="normaltextrun"/>
          <w:rFonts w:ascii="Calibri" w:hAnsi="Calibri" w:cs="Calibri"/>
          <w:color w:val="000000"/>
          <w:shd w:val="clear" w:color="auto" w:fill="FFFFFF"/>
        </w:rPr>
        <w:t>reason for the</w:t>
      </w:r>
      <w:r w:rsidR="0090053A">
        <w:rPr>
          <w:rStyle w:val="normaltextrun"/>
          <w:rFonts w:ascii="Calibri" w:hAnsi="Calibri" w:cs="Calibri"/>
          <w:color w:val="000000"/>
          <w:shd w:val="clear" w:color="auto" w:fill="FFFFFF"/>
        </w:rPr>
        <w:t xml:space="preserve"> other elements </w:t>
      </w:r>
      <w:r w:rsidR="00EA47F4">
        <w:rPr>
          <w:rStyle w:val="normaltextrun"/>
          <w:rFonts w:ascii="Calibri" w:hAnsi="Calibri" w:cs="Calibri"/>
          <w:color w:val="000000"/>
          <w:shd w:val="clear" w:color="auto" w:fill="FFFFFF"/>
        </w:rPr>
        <w:t>not to</w:t>
      </w:r>
      <w:r w:rsidR="00327C42">
        <w:rPr>
          <w:rStyle w:val="normaltextrun"/>
          <w:rFonts w:ascii="Calibri" w:hAnsi="Calibri" w:cs="Calibri"/>
          <w:color w:val="000000"/>
          <w:shd w:val="clear" w:color="auto" w:fill="FFFFFF"/>
        </w:rPr>
        <w:t xml:space="preserve"> b</w:t>
      </w:r>
      <w:r w:rsidR="0090053A">
        <w:rPr>
          <w:rStyle w:val="normaltextrun"/>
          <w:rFonts w:ascii="Calibri" w:hAnsi="Calibri" w:cs="Calibri"/>
          <w:color w:val="000000"/>
          <w:shd w:val="clear" w:color="auto" w:fill="FFFFFF"/>
        </w:rPr>
        <w:t>e applied to the property</w:t>
      </w:r>
      <w:r w:rsidR="004A464D">
        <w:rPr>
          <w:rStyle w:val="normaltextrun"/>
          <w:rFonts w:ascii="Calibri" w:hAnsi="Calibri" w:cs="Calibri"/>
          <w:color w:val="000000"/>
          <w:shd w:val="clear" w:color="auto" w:fill="FFFFFF"/>
        </w:rPr>
        <w:t xml:space="preserve">. </w:t>
      </w:r>
      <w:r w:rsidR="001A217A">
        <w:t>Just because a person might need assistance to enter a property does not mean they should not be able to use the bathroom independently while</w:t>
      </w:r>
      <w:r w:rsidR="003777F6">
        <w:t xml:space="preserve"> inside the home</w:t>
      </w:r>
      <w:r w:rsidR="001A217A">
        <w:t>. Maximising accessibility means maximising independence.</w:t>
      </w:r>
    </w:p>
    <w:p w14:paraId="6FDF565B" w14:textId="49FE24AC" w:rsidR="001842D0" w:rsidRPr="00244AA8" w:rsidRDefault="004A464D" w:rsidP="004077B2">
      <w:pPr>
        <w:spacing w:after="160"/>
        <w:rPr>
          <w:rStyle w:val="normaltextrun"/>
        </w:rPr>
      </w:pPr>
      <w:r>
        <w:rPr>
          <w:rStyle w:val="normaltextrun"/>
          <w:rFonts w:ascii="Calibri" w:hAnsi="Calibri" w:cs="Calibri"/>
          <w:color w:val="000000"/>
          <w:shd w:val="clear" w:color="auto" w:fill="FFFFFF"/>
        </w:rPr>
        <w:t>Not only do blanket exemptions com</w:t>
      </w:r>
      <w:r w:rsidR="00E167EC">
        <w:rPr>
          <w:rStyle w:val="normaltextrun"/>
          <w:rFonts w:ascii="Calibri" w:hAnsi="Calibri" w:cs="Calibri"/>
          <w:color w:val="000000"/>
          <w:shd w:val="clear" w:color="auto" w:fill="FFFFFF"/>
        </w:rPr>
        <w:t xml:space="preserve">pletely undermine the intention of the NCC LHD – which is to allow people to move around in their home with dignity </w:t>
      </w:r>
      <w:r w:rsidR="00A46C56">
        <w:rPr>
          <w:rStyle w:val="normaltextrun"/>
          <w:rFonts w:ascii="Calibri" w:hAnsi="Calibri" w:cs="Calibri"/>
          <w:color w:val="000000"/>
          <w:shd w:val="clear" w:color="auto" w:fill="FFFFFF"/>
        </w:rPr>
        <w:t xml:space="preserve">throughout all stages of their lives </w:t>
      </w:r>
      <w:r w:rsidR="00E572B0">
        <w:rPr>
          <w:rStyle w:val="normaltextrun"/>
          <w:rFonts w:ascii="Calibri" w:hAnsi="Calibri" w:cs="Calibri"/>
          <w:color w:val="000000"/>
          <w:shd w:val="clear" w:color="auto" w:fill="FFFFFF"/>
        </w:rPr>
        <w:t xml:space="preserve">– it </w:t>
      </w:r>
      <w:r w:rsidR="0018661C">
        <w:rPr>
          <w:rStyle w:val="normaltextrun"/>
          <w:rFonts w:ascii="Calibri" w:hAnsi="Calibri" w:cs="Calibri"/>
          <w:color w:val="000000"/>
          <w:shd w:val="clear" w:color="auto" w:fill="FFFFFF"/>
        </w:rPr>
        <w:t>will</w:t>
      </w:r>
      <w:r w:rsidR="0093502D">
        <w:rPr>
          <w:rStyle w:val="normaltextrun"/>
          <w:rFonts w:ascii="Calibri" w:hAnsi="Calibri" w:cs="Calibri"/>
          <w:color w:val="000000"/>
          <w:shd w:val="clear" w:color="auto" w:fill="FFFFFF"/>
        </w:rPr>
        <w:t xml:space="preserve"> also</w:t>
      </w:r>
      <w:r w:rsidR="0018661C">
        <w:rPr>
          <w:rStyle w:val="normaltextrun"/>
          <w:rFonts w:ascii="Calibri" w:hAnsi="Calibri" w:cs="Calibri"/>
          <w:color w:val="000000"/>
          <w:shd w:val="clear" w:color="auto" w:fill="FFFFFF"/>
        </w:rPr>
        <w:t xml:space="preserve"> </w:t>
      </w:r>
      <w:r w:rsidR="00E572B0">
        <w:rPr>
          <w:rStyle w:val="normaltextrun"/>
          <w:rFonts w:ascii="Calibri" w:hAnsi="Calibri" w:cs="Calibri"/>
          <w:color w:val="000000"/>
          <w:shd w:val="clear" w:color="auto" w:fill="FFFFFF"/>
        </w:rPr>
        <w:t xml:space="preserve">create further stress </w:t>
      </w:r>
      <w:r w:rsidR="001A217A">
        <w:rPr>
          <w:rStyle w:val="normaltextrun"/>
          <w:rFonts w:ascii="Calibri" w:hAnsi="Calibri" w:cs="Calibri"/>
          <w:color w:val="000000"/>
          <w:shd w:val="clear" w:color="auto" w:fill="FFFFFF"/>
        </w:rPr>
        <w:t>for</w:t>
      </w:r>
      <w:r w:rsidR="00E572B0">
        <w:rPr>
          <w:rStyle w:val="normaltextrun"/>
          <w:rFonts w:ascii="Calibri" w:hAnsi="Calibri" w:cs="Calibri"/>
          <w:color w:val="000000"/>
          <w:shd w:val="clear" w:color="auto" w:fill="FFFFFF"/>
        </w:rPr>
        <w:t xml:space="preserve"> the </w:t>
      </w:r>
      <w:r>
        <w:rPr>
          <w:rStyle w:val="normaltextrun"/>
          <w:rFonts w:ascii="Calibri" w:hAnsi="Calibri" w:cs="Calibri"/>
          <w:color w:val="000000"/>
          <w:shd w:val="clear" w:color="auto" w:fill="FFFFFF"/>
        </w:rPr>
        <w:t>housing construction industry</w:t>
      </w:r>
      <w:r w:rsidR="00E572B0">
        <w:rPr>
          <w:rStyle w:val="normaltextrun"/>
          <w:rFonts w:ascii="Calibri" w:hAnsi="Calibri" w:cs="Calibri"/>
          <w:color w:val="000000"/>
          <w:shd w:val="clear" w:color="auto" w:fill="FFFFFF"/>
        </w:rPr>
        <w:t xml:space="preserve"> into the future</w:t>
      </w:r>
      <w:r w:rsidR="001A217A">
        <w:rPr>
          <w:rStyle w:val="normaltextrun"/>
          <w:rFonts w:ascii="Calibri" w:hAnsi="Calibri" w:cs="Calibri"/>
          <w:color w:val="000000"/>
          <w:shd w:val="clear" w:color="auto" w:fill="FFFFFF"/>
        </w:rPr>
        <w:t>.</w:t>
      </w:r>
      <w:r w:rsidR="0018661C">
        <w:rPr>
          <w:rStyle w:val="normaltextrun"/>
          <w:rFonts w:ascii="Calibri" w:hAnsi="Calibri" w:cs="Calibri"/>
          <w:color w:val="000000"/>
          <w:shd w:val="clear" w:color="auto" w:fill="FFFFFF"/>
        </w:rPr>
        <w:t xml:space="preserve"> </w:t>
      </w:r>
      <w:r w:rsidR="001A217A">
        <w:rPr>
          <w:rStyle w:val="normaltextrun"/>
          <w:rFonts w:ascii="Calibri" w:hAnsi="Calibri" w:cs="Calibri"/>
          <w:color w:val="000000"/>
          <w:shd w:val="clear" w:color="auto" w:fill="FFFFFF"/>
        </w:rPr>
        <w:t xml:space="preserve">This is especially the case </w:t>
      </w:r>
      <w:r w:rsidR="0018661C">
        <w:rPr>
          <w:rStyle w:val="normaltextrun"/>
          <w:rFonts w:ascii="Calibri" w:hAnsi="Calibri" w:cs="Calibri"/>
          <w:color w:val="000000"/>
          <w:shd w:val="clear" w:color="auto" w:fill="FFFFFF"/>
        </w:rPr>
        <w:t>with other</w:t>
      </w:r>
      <w:r>
        <w:rPr>
          <w:rStyle w:val="normaltextrun"/>
          <w:rFonts w:ascii="Calibri" w:hAnsi="Calibri" w:cs="Calibri"/>
          <w:color w:val="000000"/>
          <w:shd w:val="clear" w:color="auto" w:fill="FFFFFF"/>
        </w:rPr>
        <w:t xml:space="preserve"> jurisdictions across Australia moving to adopt the Standard, some well ahead of October 2024</w:t>
      </w:r>
      <w:r w:rsidR="00F602E7">
        <w:rPr>
          <w:rStyle w:val="normaltextrun"/>
          <w:rFonts w:ascii="Calibri" w:hAnsi="Calibri" w:cs="Calibri"/>
          <w:color w:val="000000"/>
          <w:shd w:val="clear" w:color="auto" w:fill="FFFFFF"/>
        </w:rPr>
        <w:t>, and is the reason why many</w:t>
      </w:r>
      <w:r w:rsidR="005D544F">
        <w:rPr>
          <w:rStyle w:val="normaltextrun"/>
          <w:rFonts w:ascii="Calibri" w:hAnsi="Calibri" w:cs="Calibri"/>
          <w:color w:val="000000"/>
          <w:shd w:val="clear" w:color="auto" w:fill="FFFFFF"/>
        </w:rPr>
        <w:t xml:space="preserve"> </w:t>
      </w:r>
      <w:r w:rsidR="00F602E7">
        <w:rPr>
          <w:rStyle w:val="normaltextrun"/>
          <w:rFonts w:ascii="Calibri" w:hAnsi="Calibri" w:cs="Calibri"/>
          <w:color w:val="000000"/>
          <w:shd w:val="clear" w:color="auto" w:fill="FFFFFF"/>
        </w:rPr>
        <w:t xml:space="preserve">have been calling </w:t>
      </w:r>
      <w:r w:rsidR="005D544F">
        <w:rPr>
          <w:rStyle w:val="normaltextrun"/>
          <w:rFonts w:ascii="Calibri" w:hAnsi="Calibri" w:cs="Calibri"/>
          <w:color w:val="000000"/>
          <w:shd w:val="clear" w:color="auto" w:fill="FFFFFF"/>
        </w:rPr>
        <w:t>for a nationally consistent approach</w:t>
      </w:r>
      <w:r>
        <w:rPr>
          <w:rStyle w:val="normaltextrun"/>
          <w:rFonts w:ascii="Calibri" w:hAnsi="Calibri" w:cs="Calibri"/>
          <w:color w:val="000000"/>
          <w:shd w:val="clear" w:color="auto" w:fill="FFFFFF"/>
        </w:rPr>
        <w:t xml:space="preserve">. </w:t>
      </w:r>
      <w:r w:rsidR="001842D0">
        <w:rPr>
          <w:rStyle w:val="normaltextrun"/>
          <w:rFonts w:ascii="Calibri" w:hAnsi="Calibri" w:cs="Calibri"/>
          <w:color w:val="000000"/>
          <w:shd w:val="clear" w:color="auto" w:fill="FFFFFF"/>
        </w:rPr>
        <w:t>Standardised products under the current requirements will become redundant requiring bespoke orders, while those that comply with the new rules will become the new standard items resulting in economies of scale that reduce their price. Therefore, any setback to the broad implementation of the new Standard, be it slow take up or excessive exemptions, will further inflate building costs, exacerbate supply shortages, delay builds, and result in more ‘red tape’ in compliance and materials sourcing.</w:t>
      </w:r>
    </w:p>
    <w:p w14:paraId="785FC809" w14:textId="55C56082" w:rsidR="00E70C1E" w:rsidRDefault="00501FDF" w:rsidP="004077B2">
      <w:pPr>
        <w:spacing w:after="160"/>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 xml:space="preserve">It will take time for the implementation of the </w:t>
      </w:r>
      <w:r w:rsidR="004A3DC5">
        <w:rPr>
          <w:rStyle w:val="normaltextrun"/>
          <w:rFonts w:ascii="Calibri" w:hAnsi="Calibri" w:cs="Calibri"/>
          <w:color w:val="000000"/>
          <w:shd w:val="clear" w:color="auto" w:fill="FFFFFF"/>
        </w:rPr>
        <w:t>NCC L</w:t>
      </w:r>
      <w:r w:rsidR="00B57C34">
        <w:rPr>
          <w:rStyle w:val="normaltextrun"/>
          <w:rFonts w:ascii="Calibri" w:hAnsi="Calibri" w:cs="Calibri"/>
          <w:color w:val="000000"/>
          <w:shd w:val="clear" w:color="auto" w:fill="FFFFFF"/>
        </w:rPr>
        <w:t>H</w:t>
      </w:r>
      <w:r w:rsidR="004A3DC5">
        <w:rPr>
          <w:rStyle w:val="normaltextrun"/>
          <w:rFonts w:ascii="Calibri" w:hAnsi="Calibri" w:cs="Calibri"/>
          <w:color w:val="000000"/>
          <w:shd w:val="clear" w:color="auto" w:fill="FFFFFF"/>
        </w:rPr>
        <w:t xml:space="preserve">D </w:t>
      </w:r>
      <w:r>
        <w:rPr>
          <w:rStyle w:val="normaltextrun"/>
          <w:rFonts w:ascii="Calibri" w:hAnsi="Calibri" w:cs="Calibri"/>
          <w:color w:val="000000"/>
          <w:shd w:val="clear" w:color="auto" w:fill="FFFFFF"/>
        </w:rPr>
        <w:t xml:space="preserve">to incrementally expand the supply of </w:t>
      </w:r>
      <w:r w:rsidR="004A3DC5">
        <w:rPr>
          <w:rStyle w:val="normaltextrun"/>
          <w:rFonts w:ascii="Calibri" w:hAnsi="Calibri" w:cs="Calibri"/>
          <w:color w:val="000000"/>
          <w:shd w:val="clear" w:color="auto" w:fill="FFFFFF"/>
        </w:rPr>
        <w:t xml:space="preserve">accessible </w:t>
      </w:r>
      <w:r>
        <w:rPr>
          <w:rStyle w:val="normaltextrun"/>
          <w:rFonts w:ascii="Calibri" w:hAnsi="Calibri" w:cs="Calibri"/>
          <w:color w:val="000000"/>
          <w:shd w:val="clear" w:color="auto" w:fill="FFFFFF"/>
        </w:rPr>
        <w:t>and safe accommodation for people living with disability</w:t>
      </w:r>
      <w:r w:rsidR="007F1134">
        <w:rPr>
          <w:rStyle w:val="normaltextrun"/>
          <w:rFonts w:ascii="Calibri" w:hAnsi="Calibri" w:cs="Calibri"/>
          <w:color w:val="000000"/>
          <w:shd w:val="clear" w:color="auto" w:fill="FFFFFF"/>
        </w:rPr>
        <w:t xml:space="preserve">, older people, others with mobility needs, </w:t>
      </w:r>
      <w:r w:rsidR="00DF1150">
        <w:rPr>
          <w:rStyle w:val="normaltextrun"/>
          <w:rFonts w:ascii="Calibri" w:hAnsi="Calibri" w:cs="Calibri"/>
          <w:color w:val="000000"/>
          <w:shd w:val="clear" w:color="auto" w:fill="FFFFFF"/>
        </w:rPr>
        <w:t xml:space="preserve">and </w:t>
      </w:r>
      <w:r w:rsidR="007F1134">
        <w:rPr>
          <w:rStyle w:val="normaltextrun"/>
          <w:rFonts w:ascii="Calibri" w:hAnsi="Calibri" w:cs="Calibri"/>
          <w:color w:val="000000"/>
          <w:shd w:val="clear" w:color="auto" w:fill="FFFFFF"/>
        </w:rPr>
        <w:t>parents with children</w:t>
      </w:r>
      <w:r>
        <w:rPr>
          <w:rStyle w:val="normaltextrun"/>
          <w:rFonts w:ascii="Calibri" w:hAnsi="Calibri" w:cs="Calibri"/>
          <w:color w:val="000000"/>
          <w:shd w:val="clear" w:color="auto" w:fill="FFFFFF"/>
        </w:rPr>
        <w:t>,</w:t>
      </w:r>
      <w:r w:rsidR="009C7FC0">
        <w:rPr>
          <w:rStyle w:val="normaltextrun"/>
          <w:rFonts w:ascii="Calibri" w:hAnsi="Calibri" w:cs="Calibri"/>
          <w:color w:val="000000"/>
          <w:shd w:val="clear" w:color="auto" w:fill="FFFFFF"/>
        </w:rPr>
        <w:t xml:space="preserve"> among others,</w:t>
      </w:r>
      <w:r>
        <w:rPr>
          <w:rStyle w:val="normaltextrun"/>
          <w:rFonts w:ascii="Calibri" w:hAnsi="Calibri" w:cs="Calibri"/>
          <w:color w:val="000000"/>
          <w:shd w:val="clear" w:color="auto" w:fill="FFFFFF"/>
        </w:rPr>
        <w:t xml:space="preserve"> so time is of the essence. </w:t>
      </w:r>
      <w:r w:rsidR="00B57C34">
        <w:rPr>
          <w:rStyle w:val="normaltextrun"/>
          <w:rFonts w:ascii="Calibri" w:hAnsi="Calibri" w:cs="Calibri"/>
          <w:color w:val="000000"/>
          <w:shd w:val="clear" w:color="auto" w:fill="FFFFFF"/>
        </w:rPr>
        <w:t>Therefore, it is essential the</w:t>
      </w:r>
      <w:r w:rsidR="0019456B">
        <w:rPr>
          <w:rStyle w:val="normaltextrun"/>
          <w:rFonts w:ascii="Calibri" w:hAnsi="Calibri" w:cs="Calibri"/>
          <w:color w:val="000000"/>
          <w:shd w:val="clear" w:color="auto" w:fill="FFFFFF"/>
        </w:rPr>
        <w:t xml:space="preserve"> </w:t>
      </w:r>
      <w:r w:rsidR="006C3308">
        <w:rPr>
          <w:rStyle w:val="normaltextrun"/>
          <w:rFonts w:ascii="Calibri" w:hAnsi="Calibri" w:cs="Calibri"/>
          <w:color w:val="000000"/>
          <w:shd w:val="clear" w:color="auto" w:fill="FFFFFF"/>
        </w:rPr>
        <w:t xml:space="preserve">NCC LHD be embedded </w:t>
      </w:r>
      <w:r w:rsidR="009169D8">
        <w:rPr>
          <w:rStyle w:val="normaltextrun"/>
          <w:rFonts w:ascii="Calibri" w:hAnsi="Calibri" w:cs="Calibri"/>
          <w:color w:val="000000"/>
          <w:shd w:val="clear" w:color="auto" w:fill="FFFFFF"/>
        </w:rPr>
        <w:t xml:space="preserve">in the </w:t>
      </w:r>
      <w:r w:rsidR="00B57C34">
        <w:rPr>
          <w:rStyle w:val="normaltextrun"/>
          <w:rFonts w:ascii="Calibri" w:hAnsi="Calibri" w:cs="Calibri"/>
          <w:color w:val="000000"/>
          <w:shd w:val="clear" w:color="auto" w:fill="FFFFFF"/>
        </w:rPr>
        <w:t>GARP</w:t>
      </w:r>
      <w:r w:rsidR="00A65A02">
        <w:rPr>
          <w:rStyle w:val="normaltextrun"/>
          <w:rFonts w:ascii="Calibri" w:hAnsi="Calibri" w:cs="Calibri"/>
          <w:color w:val="000000"/>
          <w:shd w:val="clear" w:color="auto" w:fill="FFFFFF"/>
        </w:rPr>
        <w:t xml:space="preserve"> and for </w:t>
      </w:r>
      <w:r w:rsidR="00C60377">
        <w:rPr>
          <w:rStyle w:val="normaltextrun"/>
          <w:rFonts w:ascii="Calibri" w:hAnsi="Calibri" w:cs="Calibri"/>
          <w:color w:val="000000"/>
          <w:shd w:val="clear" w:color="auto" w:fill="FFFFFF"/>
        </w:rPr>
        <w:t xml:space="preserve">there to be targets </w:t>
      </w:r>
      <w:r w:rsidR="00744553">
        <w:rPr>
          <w:rStyle w:val="normaltextrun"/>
          <w:rFonts w:ascii="Calibri" w:hAnsi="Calibri" w:cs="Calibri"/>
          <w:color w:val="000000"/>
          <w:shd w:val="clear" w:color="auto" w:fill="FFFFFF"/>
        </w:rPr>
        <w:t xml:space="preserve">to </w:t>
      </w:r>
      <w:r w:rsidR="00F04230">
        <w:rPr>
          <w:rStyle w:val="normaltextrun"/>
          <w:rFonts w:ascii="Calibri" w:hAnsi="Calibri" w:cs="Calibri"/>
          <w:color w:val="000000"/>
          <w:shd w:val="clear" w:color="auto" w:fill="FFFFFF"/>
        </w:rPr>
        <w:t xml:space="preserve">ensure the roll out </w:t>
      </w:r>
      <w:r w:rsidR="0048474E">
        <w:rPr>
          <w:rStyle w:val="normaltextrun"/>
          <w:rFonts w:ascii="Calibri" w:hAnsi="Calibri" w:cs="Calibri"/>
          <w:color w:val="000000"/>
          <w:shd w:val="clear" w:color="auto" w:fill="FFFFFF"/>
        </w:rPr>
        <w:t xml:space="preserve">remains on track and </w:t>
      </w:r>
      <w:r w:rsidR="003A3362">
        <w:rPr>
          <w:rStyle w:val="normaltextrun"/>
          <w:rFonts w:ascii="Calibri" w:hAnsi="Calibri" w:cs="Calibri"/>
          <w:color w:val="000000"/>
          <w:shd w:val="clear" w:color="auto" w:fill="FFFFFF"/>
        </w:rPr>
        <w:t>new accessible dwellings are added to the housing stock in the region.</w:t>
      </w:r>
      <w:r w:rsidR="009169D8">
        <w:rPr>
          <w:rStyle w:val="normaltextrun"/>
          <w:rFonts w:ascii="Calibri" w:hAnsi="Calibri" w:cs="Calibri"/>
          <w:color w:val="000000"/>
          <w:shd w:val="clear" w:color="auto" w:fill="FFFFFF"/>
        </w:rPr>
        <w:t xml:space="preserve"> </w:t>
      </w:r>
      <w:r w:rsidR="009E35FE">
        <w:rPr>
          <w:rStyle w:val="normaltextrun"/>
          <w:rFonts w:ascii="Calibri" w:hAnsi="Calibri" w:cs="Calibri"/>
          <w:color w:val="000000"/>
          <w:shd w:val="clear" w:color="auto" w:fill="FFFFFF"/>
        </w:rPr>
        <w:t xml:space="preserve"> </w:t>
      </w:r>
    </w:p>
    <w:p w14:paraId="3044DD0C" w14:textId="30AC04F6" w:rsidR="00C53AAE" w:rsidRDefault="007729D4" w:rsidP="004077B2">
      <w:pPr>
        <w:spacing w:after="160"/>
        <w:rPr>
          <w:rFonts w:cstheme="minorHAnsi"/>
          <w:b/>
          <w:bCs/>
          <w:color w:val="000000" w:themeColor="text1"/>
        </w:rPr>
      </w:pPr>
      <w:bookmarkStart w:id="20" w:name="_Hlk150179636"/>
      <w:r w:rsidRPr="007D1D1D">
        <w:rPr>
          <w:rStyle w:val="Heading4Char"/>
          <w:szCs w:val="24"/>
        </w:rPr>
        <w:t xml:space="preserve">Recommendation </w:t>
      </w:r>
      <w:r>
        <w:rPr>
          <w:rStyle w:val="Heading4Char"/>
          <w:szCs w:val="24"/>
        </w:rPr>
        <w:t>1</w:t>
      </w:r>
      <w:r w:rsidR="00EC454C">
        <w:rPr>
          <w:rStyle w:val="Heading4Char"/>
          <w:szCs w:val="24"/>
        </w:rPr>
        <w:t>3</w:t>
      </w:r>
      <w:r w:rsidRPr="007D1D1D">
        <w:rPr>
          <w:rStyle w:val="Heading4Char"/>
          <w:szCs w:val="24"/>
        </w:rPr>
        <w:t>:</w:t>
      </w:r>
      <w:r w:rsidRPr="007D1D1D">
        <w:rPr>
          <w:rFonts w:cstheme="minorHAnsi"/>
          <w:b/>
        </w:rPr>
        <w:t xml:space="preserve"> </w:t>
      </w:r>
      <w:r w:rsidRPr="007D1D1D">
        <w:rPr>
          <w:rFonts w:cstheme="minorHAnsi"/>
          <w:b/>
          <w:bCs/>
          <w:color w:val="000000" w:themeColor="text1"/>
        </w:rPr>
        <w:t xml:space="preserve">The </w:t>
      </w:r>
      <w:r w:rsidRPr="007D1D1D">
        <w:rPr>
          <w:rFonts w:cstheme="minorHAnsi"/>
          <w:b/>
          <w:bCs/>
        </w:rPr>
        <w:t>Greater Adelaide Regional Plan</w:t>
      </w:r>
      <w:r w:rsidRPr="007D1D1D">
        <w:rPr>
          <w:rFonts w:cstheme="minorHAnsi"/>
          <w:b/>
          <w:bCs/>
          <w:color w:val="000000" w:themeColor="text1"/>
        </w:rPr>
        <w:t xml:space="preserve"> (GARP) should</w:t>
      </w:r>
      <w:r>
        <w:rPr>
          <w:rFonts w:cstheme="minorHAnsi"/>
          <w:b/>
          <w:bCs/>
          <w:color w:val="000000" w:themeColor="text1"/>
        </w:rPr>
        <w:t xml:space="preserve"> include a target that measures </w:t>
      </w:r>
      <w:r w:rsidR="00042A2F">
        <w:rPr>
          <w:rFonts w:cstheme="minorHAnsi"/>
          <w:b/>
          <w:bCs/>
          <w:color w:val="000000" w:themeColor="text1"/>
        </w:rPr>
        <w:t xml:space="preserve">the number of </w:t>
      </w:r>
      <w:r w:rsidR="00B67CAF">
        <w:rPr>
          <w:rFonts w:cstheme="minorHAnsi"/>
          <w:b/>
          <w:bCs/>
          <w:color w:val="000000" w:themeColor="text1"/>
        </w:rPr>
        <w:t xml:space="preserve">dwellings </w:t>
      </w:r>
      <w:r w:rsidR="00A52937">
        <w:rPr>
          <w:rFonts w:cstheme="minorHAnsi"/>
          <w:b/>
          <w:bCs/>
          <w:color w:val="000000" w:themeColor="text1"/>
        </w:rPr>
        <w:t>built</w:t>
      </w:r>
      <w:r w:rsidR="00B67CAF">
        <w:rPr>
          <w:rFonts w:cstheme="minorHAnsi"/>
          <w:b/>
          <w:bCs/>
          <w:color w:val="000000" w:themeColor="text1"/>
        </w:rPr>
        <w:t xml:space="preserve"> </w:t>
      </w:r>
      <w:r w:rsidR="008A4514">
        <w:rPr>
          <w:rFonts w:cstheme="minorHAnsi"/>
          <w:b/>
          <w:bCs/>
          <w:color w:val="000000" w:themeColor="text1"/>
        </w:rPr>
        <w:t xml:space="preserve">that </w:t>
      </w:r>
      <w:r w:rsidR="00C53AAE">
        <w:rPr>
          <w:rFonts w:cstheme="minorHAnsi"/>
          <w:b/>
          <w:bCs/>
          <w:color w:val="000000" w:themeColor="text1"/>
        </w:rPr>
        <w:t xml:space="preserve">fully </w:t>
      </w:r>
      <w:r w:rsidR="008A4514">
        <w:rPr>
          <w:rFonts w:cstheme="minorHAnsi"/>
          <w:b/>
          <w:bCs/>
          <w:color w:val="000000" w:themeColor="text1"/>
        </w:rPr>
        <w:t xml:space="preserve">comply with the </w:t>
      </w:r>
      <w:r w:rsidR="00C53AAE" w:rsidRPr="00C53AAE">
        <w:rPr>
          <w:rFonts w:cstheme="minorHAnsi"/>
          <w:b/>
          <w:bCs/>
          <w:color w:val="000000" w:themeColor="text1"/>
        </w:rPr>
        <w:t xml:space="preserve">National Construction Code (NCC) 2022 </w:t>
      </w:r>
      <w:proofErr w:type="spellStart"/>
      <w:r w:rsidR="00C53AAE" w:rsidRPr="00C53AAE">
        <w:rPr>
          <w:rFonts w:cstheme="minorHAnsi"/>
          <w:b/>
          <w:bCs/>
          <w:color w:val="000000" w:themeColor="text1"/>
        </w:rPr>
        <w:t>Livable</w:t>
      </w:r>
      <w:proofErr w:type="spellEnd"/>
      <w:r w:rsidR="00C53AAE" w:rsidRPr="00C53AAE">
        <w:rPr>
          <w:rFonts w:cstheme="minorHAnsi"/>
          <w:b/>
          <w:bCs/>
          <w:color w:val="000000" w:themeColor="text1"/>
        </w:rPr>
        <w:t xml:space="preserve"> Housing Design (LHD) Standard</w:t>
      </w:r>
      <w:r w:rsidR="00C53AAE">
        <w:rPr>
          <w:rFonts w:cstheme="minorHAnsi"/>
          <w:b/>
          <w:bCs/>
          <w:color w:val="000000" w:themeColor="text1"/>
        </w:rPr>
        <w:t xml:space="preserve">, </w:t>
      </w:r>
      <w:r w:rsidR="001A217A">
        <w:rPr>
          <w:rFonts w:cstheme="minorHAnsi"/>
          <w:b/>
          <w:bCs/>
          <w:color w:val="000000" w:themeColor="text1"/>
        </w:rPr>
        <w:t xml:space="preserve">those that </w:t>
      </w:r>
      <w:r w:rsidR="00C53AAE">
        <w:rPr>
          <w:rFonts w:cstheme="minorHAnsi"/>
          <w:b/>
          <w:bCs/>
          <w:color w:val="000000" w:themeColor="text1"/>
        </w:rPr>
        <w:t>partially comply</w:t>
      </w:r>
      <w:r w:rsidR="001A217A">
        <w:rPr>
          <w:rFonts w:cstheme="minorHAnsi"/>
          <w:b/>
          <w:bCs/>
          <w:color w:val="000000" w:themeColor="text1"/>
        </w:rPr>
        <w:t xml:space="preserve"> due to an exemption</w:t>
      </w:r>
      <w:r w:rsidR="00C53AAE">
        <w:rPr>
          <w:rFonts w:cstheme="minorHAnsi"/>
          <w:b/>
          <w:bCs/>
          <w:color w:val="000000" w:themeColor="text1"/>
        </w:rPr>
        <w:t xml:space="preserve">, </w:t>
      </w:r>
      <w:r w:rsidR="00362205">
        <w:rPr>
          <w:rFonts w:cstheme="minorHAnsi"/>
          <w:b/>
          <w:bCs/>
          <w:color w:val="000000" w:themeColor="text1"/>
        </w:rPr>
        <w:t>or</w:t>
      </w:r>
      <w:r w:rsidR="00C53AAE">
        <w:rPr>
          <w:rFonts w:cstheme="minorHAnsi"/>
          <w:b/>
          <w:bCs/>
          <w:color w:val="000000" w:themeColor="text1"/>
        </w:rPr>
        <w:t xml:space="preserve"> </w:t>
      </w:r>
      <w:r w:rsidR="001A217A">
        <w:rPr>
          <w:rFonts w:cstheme="minorHAnsi"/>
          <w:b/>
          <w:bCs/>
          <w:color w:val="000000" w:themeColor="text1"/>
        </w:rPr>
        <w:t xml:space="preserve">those that </w:t>
      </w:r>
      <w:r w:rsidR="00C53AAE">
        <w:rPr>
          <w:rFonts w:cstheme="minorHAnsi"/>
          <w:b/>
          <w:bCs/>
          <w:color w:val="000000" w:themeColor="text1"/>
        </w:rPr>
        <w:t>do not comply at all</w:t>
      </w:r>
      <w:r w:rsidR="001A217A">
        <w:rPr>
          <w:rFonts w:cstheme="minorHAnsi"/>
          <w:b/>
          <w:bCs/>
          <w:color w:val="000000" w:themeColor="text1"/>
        </w:rPr>
        <w:t xml:space="preserve"> as a result of ‘blanket’ exemptions</w:t>
      </w:r>
      <w:r w:rsidR="00CE7DBF">
        <w:rPr>
          <w:rFonts w:cstheme="minorHAnsi"/>
          <w:b/>
          <w:bCs/>
          <w:color w:val="000000" w:themeColor="text1"/>
        </w:rPr>
        <w:t>, including for both private market and social housing.</w:t>
      </w:r>
      <w:r w:rsidR="001A217A">
        <w:rPr>
          <w:rFonts w:cstheme="minorHAnsi"/>
          <w:b/>
          <w:bCs/>
          <w:color w:val="000000" w:themeColor="text1"/>
        </w:rPr>
        <w:t xml:space="preserve"> This will enable better monitoring of supply, help identify any issues encountered in the implementation, and ensure the housing industry and governments are accountable for delivering genuine change.</w:t>
      </w:r>
    </w:p>
    <w:bookmarkEnd w:id="20"/>
    <w:p w14:paraId="3A332B7D" w14:textId="77777777" w:rsidR="00E70C1E" w:rsidRDefault="00E70C1E" w:rsidP="004077B2">
      <w:pPr>
        <w:spacing w:after="160"/>
      </w:pPr>
    </w:p>
    <w:p w14:paraId="1AD35082" w14:textId="5F2CE3DD" w:rsidR="00BA1B78" w:rsidRDefault="00BA1B78" w:rsidP="004077B2">
      <w:pPr>
        <w:pStyle w:val="Heading2"/>
        <w:spacing w:after="160" w:line="360" w:lineRule="auto"/>
      </w:pPr>
      <w:bookmarkStart w:id="21" w:name="_Toc150180121"/>
      <w:r>
        <w:t xml:space="preserve">Promoting </w:t>
      </w:r>
      <w:proofErr w:type="spellStart"/>
      <w:r>
        <w:t>Livable</w:t>
      </w:r>
      <w:proofErr w:type="spellEnd"/>
      <w:r>
        <w:t xml:space="preserve"> Housing Design</w:t>
      </w:r>
      <w:r w:rsidR="00676942">
        <w:t xml:space="preserve"> beyond the NCC</w:t>
      </w:r>
      <w:bookmarkEnd w:id="21"/>
    </w:p>
    <w:p w14:paraId="7A728D88" w14:textId="0FB25151" w:rsidR="001B0837" w:rsidRDefault="00D660D4" w:rsidP="004077B2">
      <w:pPr>
        <w:spacing w:after="160"/>
      </w:pPr>
      <w:r>
        <w:t xml:space="preserve">The formulation of </w:t>
      </w:r>
      <w:r w:rsidR="00BA18E8">
        <w:t xml:space="preserve">the </w:t>
      </w:r>
      <w:r>
        <w:t xml:space="preserve">GARP presents a valuable opportunity to </w:t>
      </w:r>
      <w:r w:rsidR="00710BB3">
        <w:t xml:space="preserve">drive </w:t>
      </w:r>
      <w:r w:rsidR="005D5A2E">
        <w:t xml:space="preserve">increased adoption of accessible building designs </w:t>
      </w:r>
      <w:r w:rsidR="00FB1386">
        <w:t>throughout its term</w:t>
      </w:r>
      <w:r w:rsidR="00EE0401">
        <w:t xml:space="preserve"> beyond what the </w:t>
      </w:r>
      <w:r w:rsidR="00AA4485">
        <w:t xml:space="preserve">formal adoption of the NCC LHD </w:t>
      </w:r>
      <w:r w:rsidR="00E03581">
        <w:t>will</w:t>
      </w:r>
      <w:r w:rsidR="0061565B">
        <w:t>, in its current form</w:t>
      </w:r>
      <w:r w:rsidR="00E03581">
        <w:t xml:space="preserve">, </w:t>
      </w:r>
      <w:r w:rsidR="00C35589">
        <w:t xml:space="preserve">achieve. There are </w:t>
      </w:r>
      <w:proofErr w:type="gramStart"/>
      <w:r w:rsidR="00C35589">
        <w:t>a number of</w:t>
      </w:r>
      <w:proofErr w:type="gramEnd"/>
      <w:r w:rsidR="00C35589">
        <w:t xml:space="preserve"> </w:t>
      </w:r>
      <w:r w:rsidR="008811D4">
        <w:t xml:space="preserve">ways in which the GARP </w:t>
      </w:r>
      <w:r w:rsidR="000F29C9">
        <w:t xml:space="preserve">should promote </w:t>
      </w:r>
      <w:r w:rsidR="00410B36">
        <w:t>best practice accessible design</w:t>
      </w:r>
      <w:r w:rsidR="005B1B7B">
        <w:t xml:space="preserve"> </w:t>
      </w:r>
      <w:r w:rsidR="00722C1D">
        <w:t xml:space="preserve">to meet the needs </w:t>
      </w:r>
      <w:r w:rsidR="00D2778A">
        <w:t>of residents with diverse access needs</w:t>
      </w:r>
      <w:r w:rsidR="001A217A">
        <w:t xml:space="preserve"> and our rapidly ageing population</w:t>
      </w:r>
      <w:r w:rsidR="00410B36">
        <w:t xml:space="preserve">. </w:t>
      </w:r>
      <w:r w:rsidR="004E1EE5">
        <w:t xml:space="preserve">First, </w:t>
      </w:r>
      <w:r w:rsidR="00FB6591">
        <w:t xml:space="preserve">the GARP should set an explicit target </w:t>
      </w:r>
      <w:r w:rsidR="00EB44BD">
        <w:t xml:space="preserve">that all </w:t>
      </w:r>
      <w:r w:rsidR="00812459">
        <w:t xml:space="preserve">new </w:t>
      </w:r>
      <w:r w:rsidR="00EB44BD">
        <w:t xml:space="preserve">dwellings are built to </w:t>
      </w:r>
      <w:r w:rsidR="00812459">
        <w:t xml:space="preserve">high level accessibility standards </w:t>
      </w:r>
      <w:r w:rsidR="00E075C0">
        <w:t xml:space="preserve">within </w:t>
      </w:r>
      <w:r w:rsidR="002D4382">
        <w:t xml:space="preserve">20 years. </w:t>
      </w:r>
      <w:r w:rsidR="00E139FC">
        <w:t>This should include a</w:t>
      </w:r>
      <w:r w:rsidR="00AF6B20">
        <w:t xml:space="preserve"> statement</w:t>
      </w:r>
      <w:r w:rsidR="00E139FC">
        <w:t xml:space="preserve"> that </w:t>
      </w:r>
      <w:r w:rsidR="00D02275">
        <w:t xml:space="preserve">all tiers of government </w:t>
      </w:r>
      <w:r w:rsidR="00AF6B20">
        <w:t xml:space="preserve">continue to work to improve </w:t>
      </w:r>
      <w:r w:rsidR="000427C3">
        <w:t xml:space="preserve">and expand </w:t>
      </w:r>
      <w:r w:rsidR="003C21F1">
        <w:t xml:space="preserve">the features included in </w:t>
      </w:r>
      <w:r w:rsidR="000427C3">
        <w:t xml:space="preserve">the </w:t>
      </w:r>
      <w:r w:rsidR="001A217A">
        <w:t xml:space="preserve">mandatory </w:t>
      </w:r>
      <w:r w:rsidR="000427C3">
        <w:t>NCC</w:t>
      </w:r>
      <w:r w:rsidR="00C562E8">
        <w:t xml:space="preserve"> </w:t>
      </w:r>
      <w:r w:rsidR="001A217A">
        <w:t xml:space="preserve">requirements </w:t>
      </w:r>
      <w:r w:rsidR="003C21F1">
        <w:t>over time</w:t>
      </w:r>
      <w:r w:rsidR="00900436">
        <w:t xml:space="preserve"> and actively participant in future review and updating process</w:t>
      </w:r>
      <w:r w:rsidR="00961185">
        <w:t>es</w:t>
      </w:r>
      <w:r w:rsidR="00900436">
        <w:t xml:space="preserve"> </w:t>
      </w:r>
      <w:r w:rsidR="00734E7A">
        <w:t xml:space="preserve">conducted </w:t>
      </w:r>
      <w:r w:rsidR="00961185">
        <w:t xml:space="preserve">by the </w:t>
      </w:r>
      <w:r w:rsidR="00961185" w:rsidRPr="00961185">
        <w:t>Australian Building Codes Board (ABCB)</w:t>
      </w:r>
      <w:r w:rsidR="00961185">
        <w:t xml:space="preserve">. </w:t>
      </w:r>
    </w:p>
    <w:p w14:paraId="1EB585D1" w14:textId="19836437" w:rsidR="00261031" w:rsidRDefault="00261031" w:rsidP="004077B2">
      <w:pPr>
        <w:spacing w:after="160"/>
      </w:pPr>
      <w:r>
        <w:t xml:space="preserve">Second, </w:t>
      </w:r>
      <w:r w:rsidR="009A6095">
        <w:t>th</w:t>
      </w:r>
      <w:r w:rsidR="007742F1">
        <w:t>rough the GARP</w:t>
      </w:r>
      <w:r w:rsidR="00D82716">
        <w:t>,</w:t>
      </w:r>
      <w:r w:rsidR="007742F1">
        <w:t xml:space="preserve"> the Commission </w:t>
      </w:r>
      <w:r w:rsidR="00D82716">
        <w:t>should</w:t>
      </w:r>
      <w:r w:rsidR="007742F1">
        <w:t xml:space="preserve"> work to promote the </w:t>
      </w:r>
      <w:r w:rsidR="00DB02A8">
        <w:t xml:space="preserve">benefits </w:t>
      </w:r>
      <w:r w:rsidR="003D3E65">
        <w:t xml:space="preserve">of the NCC </w:t>
      </w:r>
      <w:proofErr w:type="gramStart"/>
      <w:r w:rsidR="003D3E65">
        <w:t>LHD</w:t>
      </w:r>
      <w:proofErr w:type="gramEnd"/>
      <w:r w:rsidR="003D3E65">
        <w:t xml:space="preserve"> </w:t>
      </w:r>
      <w:r w:rsidR="00DC1A8F">
        <w:t xml:space="preserve">and challenge mindsets based </w:t>
      </w:r>
      <w:r w:rsidR="008D086C">
        <w:t>on</w:t>
      </w:r>
      <w:r w:rsidR="00575177">
        <w:t xml:space="preserve"> maximising </w:t>
      </w:r>
      <w:r w:rsidR="001E42DE">
        <w:t xml:space="preserve">concessions and/or </w:t>
      </w:r>
      <w:r w:rsidR="001A217A">
        <w:t>‘</w:t>
      </w:r>
      <w:r w:rsidR="001E42DE">
        <w:t>blanket</w:t>
      </w:r>
      <w:r w:rsidR="001A217A">
        <w:t>’</w:t>
      </w:r>
      <w:r w:rsidR="001E42DE">
        <w:t xml:space="preserve"> exemptions. </w:t>
      </w:r>
      <w:r w:rsidR="00F06300">
        <w:t xml:space="preserve">Even if a </w:t>
      </w:r>
      <w:r w:rsidR="00DF70B5">
        <w:t xml:space="preserve">property may technically </w:t>
      </w:r>
      <w:r w:rsidR="00077351">
        <w:t>be e</w:t>
      </w:r>
      <w:r w:rsidR="00E23D26">
        <w:t xml:space="preserve">xempt from one or more elements, there will be many </w:t>
      </w:r>
      <w:r w:rsidR="00D76624">
        <w:t xml:space="preserve">instances where </w:t>
      </w:r>
      <w:r w:rsidR="004A691F">
        <w:t>some elements can be achieved</w:t>
      </w:r>
      <w:r w:rsidR="000D4264">
        <w:t>,</w:t>
      </w:r>
      <w:r w:rsidR="004A691F">
        <w:t xml:space="preserve"> or </w:t>
      </w:r>
      <w:r w:rsidR="00252ABB">
        <w:t xml:space="preserve">innovative </w:t>
      </w:r>
      <w:r w:rsidR="0092188E">
        <w:t xml:space="preserve">design </w:t>
      </w:r>
      <w:r w:rsidR="00892773">
        <w:t xml:space="preserve">would increase </w:t>
      </w:r>
      <w:r w:rsidR="000D4264">
        <w:lastRenderedPageBreak/>
        <w:t>accessibility even if th</w:t>
      </w:r>
      <w:r w:rsidR="00C873DA">
        <w:t>is</w:t>
      </w:r>
      <w:r w:rsidR="000D4264">
        <w:t xml:space="preserve"> is not mandatory. </w:t>
      </w:r>
      <w:r w:rsidR="00B91EF4">
        <w:t>Concessions</w:t>
      </w:r>
      <w:r w:rsidR="00CC1147">
        <w:t xml:space="preserve"> and exemptions</w:t>
      </w:r>
      <w:r w:rsidR="00B91EF4">
        <w:t xml:space="preserve"> </w:t>
      </w:r>
      <w:r w:rsidR="00291E7A">
        <w:t xml:space="preserve">should only be used </w:t>
      </w:r>
      <w:r w:rsidR="00915D67">
        <w:t>if</w:t>
      </w:r>
      <w:r w:rsidR="00291E7A">
        <w:t xml:space="preserve"> </w:t>
      </w:r>
      <w:proofErr w:type="gramStart"/>
      <w:r w:rsidR="00291E7A">
        <w:t>absolutely necessary</w:t>
      </w:r>
      <w:proofErr w:type="gramEnd"/>
      <w:r w:rsidR="00915D67">
        <w:t xml:space="preserve"> and are not themselves compulsory. </w:t>
      </w:r>
      <w:r w:rsidR="001C4AA2">
        <w:t xml:space="preserve">The GARP can help </w:t>
      </w:r>
      <w:r w:rsidR="006626C4">
        <w:t xml:space="preserve">support </w:t>
      </w:r>
      <w:r w:rsidR="00CE7DC7">
        <w:t xml:space="preserve">this </w:t>
      </w:r>
      <w:r w:rsidR="00DA5A0E">
        <w:t xml:space="preserve">attitude change whereby the dominant </w:t>
      </w:r>
      <w:r w:rsidR="00F42553">
        <w:t xml:space="preserve">industry mindset </w:t>
      </w:r>
      <w:r w:rsidR="00FB73E4">
        <w:t>becomes one</w:t>
      </w:r>
      <w:r w:rsidR="00F42553">
        <w:t xml:space="preserve"> to maximise accessibility rather than </w:t>
      </w:r>
      <w:r w:rsidR="00085CBF">
        <w:t xml:space="preserve">to </w:t>
      </w:r>
      <w:r w:rsidR="00F42553">
        <w:t>take all possible steps to avoid it</w:t>
      </w:r>
      <w:r w:rsidR="00B77CFD">
        <w:t xml:space="preserve">. </w:t>
      </w:r>
      <w:r w:rsidR="0026065A">
        <w:t xml:space="preserve">The GARP should reiterate the </w:t>
      </w:r>
      <w:r w:rsidR="00FC1CAB">
        <w:t>importance of compliance</w:t>
      </w:r>
      <w:r w:rsidR="00403B5E">
        <w:t xml:space="preserve"> </w:t>
      </w:r>
      <w:r w:rsidR="0067351A">
        <w:t xml:space="preserve">and </w:t>
      </w:r>
      <w:r w:rsidR="00583DD2">
        <w:t>endorse best practice approaches to accessibility</w:t>
      </w:r>
      <w:r w:rsidR="003F01E3">
        <w:t xml:space="preserve">. </w:t>
      </w:r>
      <w:r w:rsidR="00D6692C">
        <w:t>It</w:t>
      </w:r>
      <w:r w:rsidR="00152D2C">
        <w:t xml:space="preserve"> should address the fact that exemptions are </w:t>
      </w:r>
      <w:r w:rsidR="009D3779">
        <w:t xml:space="preserve">designed to be an option of last resort where </w:t>
      </w:r>
      <w:r w:rsidR="00453220">
        <w:t>the practicalities of a build, such as a</w:t>
      </w:r>
      <w:r w:rsidR="00476A85">
        <w:t>n excessive slope</w:t>
      </w:r>
      <w:r w:rsidR="00E2304D">
        <w:t xml:space="preserve">, make </w:t>
      </w:r>
      <w:r w:rsidR="00113D58">
        <w:t>it unavoidable</w:t>
      </w:r>
      <w:r w:rsidR="000E405E">
        <w:t>.</w:t>
      </w:r>
      <w:r w:rsidR="008F202B">
        <w:t xml:space="preserve"> </w:t>
      </w:r>
      <w:r w:rsidR="00C93468">
        <w:t>Further</w:t>
      </w:r>
      <w:r w:rsidR="00FD2501">
        <w:t xml:space="preserve">, it should counteract </w:t>
      </w:r>
      <w:r w:rsidR="00CC1147">
        <w:t xml:space="preserve">false </w:t>
      </w:r>
      <w:r w:rsidR="00FD2501">
        <w:t>claims</w:t>
      </w:r>
      <w:r w:rsidR="008B5A3C">
        <w:t xml:space="preserve"> that</w:t>
      </w:r>
      <w:r w:rsidR="00FD2501">
        <w:t xml:space="preserve"> there is no point </w:t>
      </w:r>
      <w:r w:rsidR="00DE252B">
        <w:t xml:space="preserve">making the internal elements of a dwelling accessible if </w:t>
      </w:r>
      <w:r w:rsidR="00E80F1B">
        <w:t xml:space="preserve">the entry </w:t>
      </w:r>
      <w:r w:rsidR="000F6931">
        <w:t>standard</w:t>
      </w:r>
      <w:r w:rsidR="00E80F1B">
        <w:t xml:space="preserve"> cannot be met</w:t>
      </w:r>
      <w:r w:rsidR="000F6931">
        <w:t xml:space="preserve">. </w:t>
      </w:r>
    </w:p>
    <w:p w14:paraId="0F9BEAA7" w14:textId="016A1556" w:rsidR="00D11E9D" w:rsidRDefault="00D11E9D" w:rsidP="004077B2">
      <w:pPr>
        <w:spacing w:after="160"/>
      </w:pPr>
      <w:r>
        <w:t xml:space="preserve">The third way that the GARP should promote accessibility beyond the NCC LHD is to </w:t>
      </w:r>
      <w:r w:rsidR="000E639F">
        <w:t>highlight</w:t>
      </w:r>
      <w:r w:rsidR="007D66D7">
        <w:t xml:space="preserve"> </w:t>
      </w:r>
      <w:r w:rsidR="00F6706E">
        <w:t xml:space="preserve">options for designs and builds that go beyond </w:t>
      </w:r>
      <w:r w:rsidR="000E639F">
        <w:t>mandatory compliance</w:t>
      </w:r>
      <w:r w:rsidR="000B07BF">
        <w:t xml:space="preserve">. </w:t>
      </w:r>
      <w:r w:rsidR="003206B7">
        <w:t xml:space="preserve">Although this is voluntary, it </w:t>
      </w:r>
      <w:r w:rsidR="006673A9">
        <w:t xml:space="preserve">produces significant benefits. Examples include </w:t>
      </w:r>
      <w:proofErr w:type="spellStart"/>
      <w:r w:rsidR="007441C1">
        <w:t>Livable</w:t>
      </w:r>
      <w:proofErr w:type="spellEnd"/>
      <w:r w:rsidR="007441C1">
        <w:t xml:space="preserve"> Housing Design’s ‘Gold’ level </w:t>
      </w:r>
      <w:r w:rsidR="00DA7426">
        <w:t xml:space="preserve">or adaptations thereof. </w:t>
      </w:r>
      <w:r w:rsidR="00D713F3" w:rsidRPr="00D713F3">
        <w:t xml:space="preserve">While constructing houses to the NCC </w:t>
      </w:r>
      <w:r w:rsidR="009F71F9">
        <w:t>LHD</w:t>
      </w:r>
      <w:r w:rsidR="00D713F3" w:rsidRPr="00D713F3">
        <w:t xml:space="preserve"> will ensure dwellings are easier to enter and move around in, provide easier access to bathrooms, and allow for further adaptations to be made, such as installing rails, building to </w:t>
      </w:r>
      <w:r w:rsidR="001D15BB">
        <w:t>the ‘Gold’</w:t>
      </w:r>
      <w:r w:rsidR="00D713F3" w:rsidRPr="00D713F3">
        <w:t xml:space="preserve"> level would deliver greater access </w:t>
      </w:r>
      <w:r w:rsidR="00F638A6">
        <w:t xml:space="preserve">in </w:t>
      </w:r>
      <w:r w:rsidR="00CC1147">
        <w:t xml:space="preserve">the </w:t>
      </w:r>
      <w:r w:rsidR="00D713F3" w:rsidRPr="00D713F3">
        <w:t>kitchen, living areas, and bedrooms, among other aspects.</w:t>
      </w:r>
      <w:r w:rsidR="00E0531A">
        <w:t xml:space="preserve"> </w:t>
      </w:r>
      <w:r w:rsidR="0021194E">
        <w:t xml:space="preserve">The GARP should provide </w:t>
      </w:r>
      <w:r w:rsidR="0002551F">
        <w:t xml:space="preserve">a list of resources that support </w:t>
      </w:r>
      <w:r w:rsidR="007351F9">
        <w:t xml:space="preserve">the industry to go beyond mere compliance and </w:t>
      </w:r>
      <w:r w:rsidR="00CC1147">
        <w:t xml:space="preserve">voluntarily </w:t>
      </w:r>
      <w:r w:rsidR="007351F9">
        <w:t xml:space="preserve">adopt </w:t>
      </w:r>
      <w:r w:rsidR="009637FF">
        <w:t>best practices</w:t>
      </w:r>
      <w:r w:rsidR="007351F9">
        <w:t xml:space="preserve">. </w:t>
      </w:r>
      <w:r w:rsidR="008D578C">
        <w:t xml:space="preserve">The extent to which this is achieved should also be monitored across the Greater Adelaide region. </w:t>
      </w:r>
    </w:p>
    <w:p w14:paraId="3B664CA2" w14:textId="18A056B9" w:rsidR="00272514" w:rsidRPr="00D02B32" w:rsidRDefault="00A345CB" w:rsidP="004077B2">
      <w:pPr>
        <w:spacing w:after="160"/>
        <w:rPr>
          <w:rFonts w:cstheme="minorHAnsi"/>
          <w:b/>
          <w:bCs/>
          <w:color w:val="000000" w:themeColor="text1"/>
        </w:rPr>
      </w:pPr>
      <w:bookmarkStart w:id="22" w:name="_Hlk150179645"/>
      <w:r w:rsidRPr="007D1D1D">
        <w:rPr>
          <w:rStyle w:val="Heading4Char"/>
          <w:szCs w:val="24"/>
        </w:rPr>
        <w:t xml:space="preserve">Recommendation </w:t>
      </w:r>
      <w:r>
        <w:rPr>
          <w:rStyle w:val="Heading4Char"/>
          <w:szCs w:val="24"/>
        </w:rPr>
        <w:t>1</w:t>
      </w:r>
      <w:r w:rsidR="00EC454C">
        <w:rPr>
          <w:rStyle w:val="Heading4Char"/>
          <w:szCs w:val="24"/>
        </w:rPr>
        <w:t>4</w:t>
      </w:r>
      <w:r w:rsidRPr="007D1D1D">
        <w:rPr>
          <w:rStyle w:val="Heading4Char"/>
          <w:szCs w:val="24"/>
        </w:rPr>
        <w:t>:</w:t>
      </w:r>
      <w:r w:rsidRPr="007D1D1D">
        <w:rPr>
          <w:rFonts w:cstheme="minorHAnsi"/>
          <w:b/>
        </w:rPr>
        <w:t xml:space="preserve"> </w:t>
      </w:r>
      <w:r w:rsidRPr="007D1D1D">
        <w:rPr>
          <w:rFonts w:cstheme="minorHAnsi"/>
          <w:b/>
          <w:bCs/>
          <w:color w:val="000000" w:themeColor="text1"/>
        </w:rPr>
        <w:t xml:space="preserve">The </w:t>
      </w:r>
      <w:r w:rsidRPr="007D1D1D">
        <w:rPr>
          <w:rFonts w:cstheme="minorHAnsi"/>
          <w:b/>
          <w:bCs/>
        </w:rPr>
        <w:t>Greater Adelaide Regional Plan</w:t>
      </w:r>
      <w:r w:rsidRPr="007D1D1D">
        <w:rPr>
          <w:rFonts w:cstheme="minorHAnsi"/>
          <w:b/>
          <w:bCs/>
          <w:color w:val="000000" w:themeColor="text1"/>
        </w:rPr>
        <w:t xml:space="preserve"> (GARP) should</w:t>
      </w:r>
      <w:r>
        <w:rPr>
          <w:rFonts w:cstheme="minorHAnsi"/>
          <w:b/>
          <w:bCs/>
          <w:color w:val="000000" w:themeColor="text1"/>
        </w:rPr>
        <w:t xml:space="preserve"> include a target that all dwellings are built </w:t>
      </w:r>
      <w:r w:rsidR="0020441A">
        <w:rPr>
          <w:rFonts w:cstheme="minorHAnsi"/>
          <w:b/>
          <w:bCs/>
          <w:color w:val="000000" w:themeColor="text1"/>
        </w:rPr>
        <w:t xml:space="preserve">to high level accessibility </w:t>
      </w:r>
      <w:r w:rsidR="003548BE">
        <w:rPr>
          <w:rFonts w:cstheme="minorHAnsi"/>
          <w:b/>
          <w:bCs/>
          <w:color w:val="000000" w:themeColor="text1"/>
        </w:rPr>
        <w:t xml:space="preserve">standards within 20 years. </w:t>
      </w:r>
      <w:r w:rsidR="00CC1147">
        <w:rPr>
          <w:rFonts w:cstheme="minorHAnsi"/>
          <w:b/>
          <w:bCs/>
          <w:color w:val="000000" w:themeColor="text1"/>
        </w:rPr>
        <w:t>To</w:t>
      </w:r>
      <w:r w:rsidR="003548BE">
        <w:rPr>
          <w:rFonts w:cstheme="minorHAnsi"/>
          <w:b/>
          <w:bCs/>
          <w:color w:val="000000" w:themeColor="text1"/>
        </w:rPr>
        <w:t xml:space="preserve"> support this outcome, it should </w:t>
      </w:r>
      <w:r w:rsidR="009406E7">
        <w:rPr>
          <w:rFonts w:cstheme="minorHAnsi"/>
          <w:b/>
          <w:bCs/>
          <w:color w:val="000000" w:themeColor="text1"/>
        </w:rPr>
        <w:t xml:space="preserve">promote </w:t>
      </w:r>
      <w:r w:rsidR="00EB1130">
        <w:rPr>
          <w:rFonts w:cstheme="minorHAnsi"/>
          <w:b/>
          <w:bCs/>
          <w:color w:val="000000" w:themeColor="text1"/>
        </w:rPr>
        <w:t>the benefits of accessibility</w:t>
      </w:r>
      <w:r w:rsidR="00784CCA">
        <w:rPr>
          <w:rFonts w:cstheme="minorHAnsi"/>
          <w:b/>
          <w:bCs/>
          <w:color w:val="000000" w:themeColor="text1"/>
        </w:rPr>
        <w:t xml:space="preserve"> and include </w:t>
      </w:r>
      <w:r w:rsidR="008A39E2">
        <w:rPr>
          <w:rFonts w:cstheme="minorHAnsi"/>
          <w:b/>
          <w:bCs/>
          <w:color w:val="000000" w:themeColor="text1"/>
        </w:rPr>
        <w:t>a target to measure</w:t>
      </w:r>
      <w:r>
        <w:rPr>
          <w:rFonts w:cstheme="minorHAnsi"/>
          <w:b/>
          <w:bCs/>
          <w:color w:val="000000" w:themeColor="text1"/>
        </w:rPr>
        <w:t xml:space="preserve"> the number of dwellings built to levels of accessibility that exceed </w:t>
      </w:r>
      <w:r w:rsidR="00D02B32">
        <w:rPr>
          <w:rFonts w:cstheme="minorHAnsi"/>
          <w:b/>
          <w:bCs/>
          <w:color w:val="000000" w:themeColor="text1"/>
        </w:rPr>
        <w:t xml:space="preserve">mandatory compliance, </w:t>
      </w:r>
      <w:r>
        <w:rPr>
          <w:rFonts w:cstheme="minorHAnsi"/>
          <w:b/>
          <w:bCs/>
          <w:color w:val="000000" w:themeColor="text1"/>
        </w:rPr>
        <w:t>for both private market and social housing.</w:t>
      </w:r>
    </w:p>
    <w:bookmarkEnd w:id="22"/>
    <w:p w14:paraId="3253122F" w14:textId="77777777" w:rsidR="00A345CB" w:rsidRDefault="00A345CB" w:rsidP="004077B2">
      <w:pPr>
        <w:spacing w:after="160"/>
      </w:pPr>
    </w:p>
    <w:p w14:paraId="7B5D2555" w14:textId="77777777" w:rsidR="00C105BD" w:rsidRDefault="001B0837" w:rsidP="004077B2">
      <w:pPr>
        <w:pStyle w:val="Heading2"/>
        <w:spacing w:after="160" w:line="360" w:lineRule="auto"/>
        <w:ind w:hanging="573"/>
      </w:pPr>
      <w:bookmarkStart w:id="23" w:name="_Toc150180122"/>
      <w:r>
        <w:t>Implementing</w:t>
      </w:r>
      <w:r w:rsidR="00EB1D3A">
        <w:t xml:space="preserve"> an Accessible Housing Overlay</w:t>
      </w:r>
      <w:r>
        <w:t xml:space="preserve"> in South Australia</w:t>
      </w:r>
      <w:bookmarkEnd w:id="23"/>
    </w:p>
    <w:p w14:paraId="5B7B7C8D" w14:textId="60A5B369" w:rsidR="00C14978" w:rsidRDefault="005339CB" w:rsidP="004077B2">
      <w:pPr>
        <w:spacing w:after="160"/>
      </w:pPr>
      <w:r>
        <w:t>The South Australian Planning and Design Code includes an Affordable Housing Overlay</w:t>
      </w:r>
      <w:r w:rsidR="00CF2657">
        <w:t>, among many others</w:t>
      </w:r>
      <w:r>
        <w:t xml:space="preserve">. </w:t>
      </w:r>
      <w:r w:rsidR="00DA6FD1">
        <w:t xml:space="preserve">Its purpose is to address </w:t>
      </w:r>
      <w:r w:rsidR="00FB18DF">
        <w:t>the shortage of affordable housing</w:t>
      </w:r>
      <w:r w:rsidR="00AF4150">
        <w:t xml:space="preserve"> and to ensure </w:t>
      </w:r>
      <w:r w:rsidR="00A50A92">
        <w:t xml:space="preserve">affordable options are integrated </w:t>
      </w:r>
      <w:r w:rsidR="00F53A37">
        <w:t xml:space="preserve">in residential and </w:t>
      </w:r>
      <w:r w:rsidR="00EE1B9D">
        <w:t>mixed-use</w:t>
      </w:r>
      <w:r w:rsidR="00F53A37">
        <w:t xml:space="preserve"> developments. </w:t>
      </w:r>
      <w:r w:rsidR="00EE1B9D">
        <w:t xml:space="preserve">This approach </w:t>
      </w:r>
      <w:r w:rsidR="00A0672B">
        <w:t xml:space="preserve">would </w:t>
      </w:r>
      <w:r w:rsidR="00B94F3D">
        <w:t xml:space="preserve">also deliver significant benefits if it was adopted for accessible housing. </w:t>
      </w:r>
      <w:r w:rsidR="00747ECD">
        <w:t xml:space="preserve">Not </w:t>
      </w:r>
      <w:r w:rsidR="00747ECD">
        <w:lastRenderedPageBreak/>
        <w:t xml:space="preserve">only would it </w:t>
      </w:r>
      <w:r w:rsidR="00463212">
        <w:t xml:space="preserve">increase the supply of </w:t>
      </w:r>
      <w:r w:rsidR="00742F05">
        <w:t xml:space="preserve">accessible </w:t>
      </w:r>
      <w:r w:rsidR="00CC1147">
        <w:t>dwellings,</w:t>
      </w:r>
      <w:r w:rsidR="002B014E">
        <w:t xml:space="preserve"> but it would </w:t>
      </w:r>
      <w:r w:rsidR="00300614">
        <w:t xml:space="preserve">ensure </w:t>
      </w:r>
      <w:r w:rsidR="00383025">
        <w:t xml:space="preserve">integration that avoids </w:t>
      </w:r>
      <w:r w:rsidR="00713BFA">
        <w:t>the segregation, congregation, and ‘ghetto</w:t>
      </w:r>
      <w:r w:rsidR="00401BAE">
        <w:t>-</w:t>
      </w:r>
      <w:proofErr w:type="spellStart"/>
      <w:r w:rsidR="002D4EA2">
        <w:t>is</w:t>
      </w:r>
      <w:r w:rsidR="00713BFA">
        <w:t>ation</w:t>
      </w:r>
      <w:proofErr w:type="spellEnd"/>
      <w:r w:rsidR="00713BFA">
        <w:t xml:space="preserve">’ of housing for specific cohorts </w:t>
      </w:r>
      <w:r w:rsidR="003E17F7">
        <w:t xml:space="preserve">and the consequences </w:t>
      </w:r>
      <w:r w:rsidR="00DD3D75">
        <w:t>this causes</w:t>
      </w:r>
      <w:r w:rsidR="006140D5">
        <w:t xml:space="preserve">, as outlined throughout this submission. </w:t>
      </w:r>
      <w:r w:rsidR="00D11580">
        <w:t xml:space="preserve">It may involve developers partnering with specialist housing providers </w:t>
      </w:r>
      <w:r w:rsidR="00AA5478">
        <w:t xml:space="preserve">to build fully accessible </w:t>
      </w:r>
      <w:r w:rsidR="000E1591">
        <w:t>houses (that is, to a higher level of accessibility than required by the NCC LHD)</w:t>
      </w:r>
      <w:r w:rsidR="00D85443">
        <w:t xml:space="preserve"> scattered throughout the neighbourhood </w:t>
      </w:r>
      <w:r w:rsidR="004444D9" w:rsidRPr="004444D9">
        <w:t xml:space="preserve">with consideration given to </w:t>
      </w:r>
      <w:r w:rsidR="00CA38B2">
        <w:t xml:space="preserve">proximity to </w:t>
      </w:r>
      <w:r w:rsidR="004444D9" w:rsidRPr="004444D9">
        <w:t>bus stops, train stations, and similar services</w:t>
      </w:r>
      <w:r w:rsidR="00683DBB">
        <w:t xml:space="preserve"> and amenities</w:t>
      </w:r>
      <w:r w:rsidR="00D85443">
        <w:t xml:space="preserve">. </w:t>
      </w:r>
    </w:p>
    <w:p w14:paraId="7E6F6A07" w14:textId="021873DC" w:rsidR="00C105BD" w:rsidRDefault="00FB1FF5" w:rsidP="004077B2">
      <w:pPr>
        <w:spacing w:after="160"/>
      </w:pPr>
      <w:r>
        <w:t xml:space="preserve">An Accessible Housing Overlay that </w:t>
      </w:r>
      <w:r w:rsidR="00D52BE2">
        <w:t>i</w:t>
      </w:r>
      <w:r>
        <w:t xml:space="preserve">s applied to new developments </w:t>
      </w:r>
      <w:r w:rsidR="00781FC1">
        <w:t xml:space="preserve">would </w:t>
      </w:r>
      <w:r w:rsidR="00CA360B">
        <w:t xml:space="preserve">align with South Australia’s commitments under </w:t>
      </w:r>
      <w:r w:rsidR="00CA360B">
        <w:rPr>
          <w:i/>
          <w:iCs/>
        </w:rPr>
        <w:t>Australia’s Disability Strategy 2012-2031</w:t>
      </w:r>
      <w:r w:rsidR="00D52BE2">
        <w:t xml:space="preserve">, the State </w:t>
      </w:r>
      <w:r w:rsidR="0004396C">
        <w:t>Disability Inclusion Plan</w:t>
      </w:r>
      <w:r w:rsidR="00CC1147">
        <w:t>,</w:t>
      </w:r>
      <w:r w:rsidR="0004396C">
        <w:t xml:space="preserve"> known as </w:t>
      </w:r>
      <w:r w:rsidR="0004396C">
        <w:rPr>
          <w:i/>
          <w:iCs/>
        </w:rPr>
        <w:t>Inclusive SA</w:t>
      </w:r>
      <w:r w:rsidR="0004396C">
        <w:t xml:space="preserve">, and </w:t>
      </w:r>
      <w:r w:rsidR="004C635A">
        <w:rPr>
          <w:i/>
          <w:iCs/>
        </w:rPr>
        <w:t>Our Housing Future 2020-2030</w:t>
      </w:r>
      <w:r w:rsidR="003C28A8">
        <w:t xml:space="preserve">. </w:t>
      </w:r>
      <w:r w:rsidR="00DD2FFA" w:rsidRPr="00DD2FFA">
        <w:t xml:space="preserve">We believe that the combination of overlays and early proactive planning in partnership with developers would generate significant additional community benefits </w:t>
      </w:r>
      <w:r w:rsidR="004F27DA">
        <w:t xml:space="preserve">especially </w:t>
      </w:r>
      <w:r w:rsidR="00DD2FFA" w:rsidRPr="00DD2FFA">
        <w:t>from greenfield developments.</w:t>
      </w:r>
      <w:r w:rsidR="00DD2FFA">
        <w:t xml:space="preserve"> </w:t>
      </w:r>
      <w:r w:rsidR="0009284B">
        <w:t>We have taken the initiative to provide a draft of</w:t>
      </w:r>
      <w:r w:rsidR="007311F4">
        <w:t xml:space="preserve"> how</w:t>
      </w:r>
      <w:r w:rsidR="0009284B">
        <w:t xml:space="preserve"> an Accessible Housing Overlay </w:t>
      </w:r>
      <w:r w:rsidR="00AB378C">
        <w:t>could</w:t>
      </w:r>
      <w:r w:rsidR="007311F4">
        <w:t xml:space="preserve"> be formulated</w:t>
      </w:r>
      <w:r w:rsidR="00EE20BA">
        <w:t>, which</w:t>
      </w:r>
      <w:r w:rsidR="007311F4">
        <w:t xml:space="preserve"> is provided </w:t>
      </w:r>
      <w:r w:rsidR="00CC1147">
        <w:t>in</w:t>
      </w:r>
      <w:r w:rsidR="007311F4">
        <w:t xml:space="preserve"> Appe</w:t>
      </w:r>
      <w:r w:rsidR="00EA185F">
        <w:t>ndix A of this submission.</w:t>
      </w:r>
    </w:p>
    <w:p w14:paraId="07F61E39" w14:textId="0FC08EDF" w:rsidR="005E14BB" w:rsidRDefault="005E14BB" w:rsidP="004077B2">
      <w:pPr>
        <w:spacing w:after="160"/>
      </w:pPr>
      <w:r>
        <w:t xml:space="preserve">For an </w:t>
      </w:r>
      <w:r w:rsidR="00F13DC9">
        <w:t xml:space="preserve">Accessible Housing Overlay to achieve its greatest impact it is likely that broader planning and </w:t>
      </w:r>
      <w:r w:rsidR="002126C8">
        <w:t>regulation</w:t>
      </w:r>
      <w:r w:rsidR="00F13DC9">
        <w:t xml:space="preserve"> issues </w:t>
      </w:r>
      <w:r w:rsidR="002126C8">
        <w:t xml:space="preserve">also </w:t>
      </w:r>
      <w:r w:rsidR="00F13DC9">
        <w:t xml:space="preserve">need to be resolved. For example, </w:t>
      </w:r>
      <w:r w:rsidR="001E4D51">
        <w:t>housing industry stakeholders often point to the narrowness of blocks</w:t>
      </w:r>
      <w:r w:rsidR="00C226A7">
        <w:t xml:space="preserve"> or overall allotment sizes</w:t>
      </w:r>
      <w:r w:rsidR="001E4D51">
        <w:t xml:space="preserve"> as a reason </w:t>
      </w:r>
      <w:r w:rsidR="00EE7817">
        <w:t xml:space="preserve">why accessible designs cannot be implemented. </w:t>
      </w:r>
      <w:r w:rsidR="00C226A7">
        <w:t xml:space="preserve">Yet, this </w:t>
      </w:r>
      <w:r w:rsidR="00FA3E29">
        <w:t xml:space="preserve">does not </w:t>
      </w:r>
      <w:r w:rsidR="004B741E">
        <w:t>deal with</w:t>
      </w:r>
      <w:r w:rsidR="00FA3E29">
        <w:t xml:space="preserve"> why the allotments are </w:t>
      </w:r>
      <w:r w:rsidR="004B741E">
        <w:t xml:space="preserve">allowed to be </w:t>
      </w:r>
      <w:r w:rsidR="00292ACC">
        <w:t xml:space="preserve">set </w:t>
      </w:r>
      <w:r w:rsidR="00CE5AD3">
        <w:t>to</w:t>
      </w:r>
      <w:r w:rsidR="00292ACC">
        <w:t xml:space="preserve"> such small dimensions</w:t>
      </w:r>
      <w:r w:rsidR="004B741E">
        <w:t xml:space="preserve"> in the first place</w:t>
      </w:r>
      <w:r w:rsidR="00292ACC">
        <w:t xml:space="preserve">, especially within greenfield developments. </w:t>
      </w:r>
      <w:r w:rsidR="00694DF8">
        <w:t>Further, excessively small blocks also</w:t>
      </w:r>
      <w:r w:rsidR="001412EC">
        <w:t xml:space="preserve"> have </w:t>
      </w:r>
      <w:r w:rsidR="007C22CC">
        <w:t xml:space="preserve">other consequences, including for </w:t>
      </w:r>
      <w:r w:rsidR="00521BFC">
        <w:t xml:space="preserve">car parking (noting many </w:t>
      </w:r>
      <w:r w:rsidR="00562090">
        <w:t xml:space="preserve">greenfield developments are not served by public transport), garbage and recycling collections, </w:t>
      </w:r>
      <w:r w:rsidR="00457C41">
        <w:t>tree canopy</w:t>
      </w:r>
      <w:r w:rsidR="00CC1147">
        <w:t xml:space="preserve">, and general </w:t>
      </w:r>
      <w:proofErr w:type="spellStart"/>
      <w:r w:rsidR="00CC1147">
        <w:t>livability</w:t>
      </w:r>
      <w:proofErr w:type="spellEnd"/>
      <w:r w:rsidR="00CC1147">
        <w:t xml:space="preserve"> especially for families and children needing space to play</w:t>
      </w:r>
      <w:r w:rsidR="00084DBE">
        <w:t>.</w:t>
      </w:r>
      <w:r w:rsidR="00694DF8">
        <w:t xml:space="preserve"> </w:t>
      </w:r>
      <w:r w:rsidR="0054003B">
        <w:t xml:space="preserve">Therefore, we urge the Commission to </w:t>
      </w:r>
      <w:r w:rsidR="009B4467">
        <w:t xml:space="preserve">commit </w:t>
      </w:r>
      <w:r w:rsidR="00084DBE">
        <w:t xml:space="preserve">in the GARP </w:t>
      </w:r>
      <w:r w:rsidR="009B4467">
        <w:t>to a review of all planning</w:t>
      </w:r>
      <w:r w:rsidR="00FF70BF">
        <w:t xml:space="preserve"> </w:t>
      </w:r>
      <w:r w:rsidR="00CC1147">
        <w:t xml:space="preserve">rules and </w:t>
      </w:r>
      <w:r w:rsidR="00FF70BF">
        <w:t xml:space="preserve">regulations </w:t>
      </w:r>
      <w:r w:rsidR="00BA282E">
        <w:t xml:space="preserve">and </w:t>
      </w:r>
      <w:r w:rsidR="00254BEB">
        <w:t xml:space="preserve">how </w:t>
      </w:r>
      <w:r w:rsidR="00BA282E">
        <w:t xml:space="preserve">they impact the capacity </w:t>
      </w:r>
      <w:r w:rsidR="00754B9B">
        <w:t xml:space="preserve">to increase the supply of accessible </w:t>
      </w:r>
      <w:proofErr w:type="spellStart"/>
      <w:r w:rsidR="00CC1147">
        <w:t>livable</w:t>
      </w:r>
      <w:proofErr w:type="spellEnd"/>
      <w:r w:rsidR="00CC1147">
        <w:t xml:space="preserve"> </w:t>
      </w:r>
      <w:r w:rsidR="00754B9B">
        <w:t xml:space="preserve">housing within the Greater Adelaide region. </w:t>
      </w:r>
    </w:p>
    <w:p w14:paraId="7CA3E4F4" w14:textId="1C422914" w:rsidR="00754B9B" w:rsidRDefault="00754B9B" w:rsidP="004077B2">
      <w:pPr>
        <w:spacing w:after="160"/>
        <w:rPr>
          <w:rFonts w:cstheme="minorHAnsi"/>
          <w:b/>
          <w:bCs/>
          <w:color w:val="000000" w:themeColor="text1"/>
        </w:rPr>
      </w:pPr>
      <w:bookmarkStart w:id="24" w:name="_Hlk150179654"/>
      <w:r w:rsidRPr="007D1D1D">
        <w:rPr>
          <w:rStyle w:val="Heading4Char"/>
          <w:szCs w:val="24"/>
        </w:rPr>
        <w:t xml:space="preserve">Recommendation </w:t>
      </w:r>
      <w:r>
        <w:rPr>
          <w:rStyle w:val="Heading4Char"/>
          <w:szCs w:val="24"/>
        </w:rPr>
        <w:t>1</w:t>
      </w:r>
      <w:r w:rsidR="00EC454C">
        <w:rPr>
          <w:rStyle w:val="Heading4Char"/>
          <w:szCs w:val="24"/>
        </w:rPr>
        <w:t>5</w:t>
      </w:r>
      <w:r w:rsidRPr="007D1D1D">
        <w:rPr>
          <w:rStyle w:val="Heading4Char"/>
          <w:szCs w:val="24"/>
        </w:rPr>
        <w:t>:</w:t>
      </w:r>
      <w:r w:rsidRPr="007D1D1D">
        <w:rPr>
          <w:rFonts w:cstheme="minorHAnsi"/>
          <w:b/>
        </w:rPr>
        <w:t xml:space="preserve"> </w:t>
      </w:r>
      <w:r w:rsidRPr="007D1D1D">
        <w:rPr>
          <w:rFonts w:cstheme="minorHAnsi"/>
          <w:b/>
          <w:bCs/>
          <w:color w:val="000000" w:themeColor="text1"/>
        </w:rPr>
        <w:t xml:space="preserve">The </w:t>
      </w:r>
      <w:r w:rsidRPr="007D1D1D">
        <w:rPr>
          <w:rFonts w:cstheme="minorHAnsi"/>
          <w:b/>
          <w:bCs/>
        </w:rPr>
        <w:t>Greater Adelaide Regional Plan</w:t>
      </w:r>
      <w:r w:rsidRPr="007D1D1D">
        <w:rPr>
          <w:rFonts w:cstheme="minorHAnsi"/>
          <w:b/>
          <w:bCs/>
          <w:color w:val="000000" w:themeColor="text1"/>
        </w:rPr>
        <w:t xml:space="preserve"> (GARP) should</w:t>
      </w:r>
      <w:r>
        <w:rPr>
          <w:rFonts w:cstheme="minorHAnsi"/>
          <w:b/>
          <w:bCs/>
          <w:color w:val="000000" w:themeColor="text1"/>
        </w:rPr>
        <w:t xml:space="preserve"> commit the State Planning Commission to </w:t>
      </w:r>
      <w:r w:rsidR="008B0D2F">
        <w:rPr>
          <w:rFonts w:cstheme="minorHAnsi"/>
          <w:b/>
          <w:bCs/>
          <w:color w:val="000000" w:themeColor="text1"/>
        </w:rPr>
        <w:t xml:space="preserve">undertaking </w:t>
      </w:r>
      <w:r w:rsidR="001A39C4">
        <w:rPr>
          <w:rFonts w:cstheme="minorHAnsi"/>
          <w:b/>
          <w:bCs/>
          <w:color w:val="000000" w:themeColor="text1"/>
        </w:rPr>
        <w:t xml:space="preserve">a </w:t>
      </w:r>
      <w:r w:rsidR="008B0D2F" w:rsidRPr="008B0D2F">
        <w:rPr>
          <w:rFonts w:cstheme="minorHAnsi"/>
          <w:b/>
          <w:bCs/>
          <w:color w:val="000000" w:themeColor="text1"/>
        </w:rPr>
        <w:t>Planning and Design Code</w:t>
      </w:r>
      <w:r w:rsidR="008B0D2F">
        <w:rPr>
          <w:rFonts w:cstheme="minorHAnsi"/>
          <w:b/>
          <w:bCs/>
          <w:color w:val="000000" w:themeColor="text1"/>
        </w:rPr>
        <w:t xml:space="preserve"> Amendment to create an Accessible Housing Overlay</w:t>
      </w:r>
      <w:r w:rsidR="00485956">
        <w:rPr>
          <w:rFonts w:cstheme="minorHAnsi"/>
          <w:b/>
          <w:bCs/>
          <w:color w:val="000000" w:themeColor="text1"/>
        </w:rPr>
        <w:t xml:space="preserve"> as soon as possible</w:t>
      </w:r>
      <w:r w:rsidR="007D3397">
        <w:rPr>
          <w:rFonts w:cstheme="minorHAnsi"/>
          <w:b/>
          <w:bCs/>
          <w:color w:val="000000" w:themeColor="text1"/>
        </w:rPr>
        <w:t xml:space="preserve"> (for example, </w:t>
      </w:r>
      <w:r w:rsidR="00BA7CA6">
        <w:rPr>
          <w:rFonts w:cstheme="minorHAnsi"/>
          <w:b/>
          <w:bCs/>
          <w:color w:val="000000" w:themeColor="text1"/>
        </w:rPr>
        <w:t>see Appendix A)</w:t>
      </w:r>
      <w:r w:rsidR="00485956">
        <w:rPr>
          <w:rFonts w:cstheme="minorHAnsi"/>
          <w:b/>
          <w:bCs/>
          <w:color w:val="000000" w:themeColor="text1"/>
        </w:rPr>
        <w:t>.</w:t>
      </w:r>
    </w:p>
    <w:p w14:paraId="0C492F6B" w14:textId="07C65D2C" w:rsidR="00485956" w:rsidRDefault="00485956" w:rsidP="004077B2">
      <w:pPr>
        <w:spacing w:after="160"/>
        <w:rPr>
          <w:rFonts w:cstheme="minorHAnsi"/>
          <w:b/>
          <w:bCs/>
          <w:color w:val="000000" w:themeColor="text1"/>
        </w:rPr>
      </w:pPr>
      <w:r w:rsidRPr="007D1D1D">
        <w:rPr>
          <w:rStyle w:val="Heading4Char"/>
          <w:szCs w:val="24"/>
        </w:rPr>
        <w:lastRenderedPageBreak/>
        <w:t xml:space="preserve">Recommendation </w:t>
      </w:r>
      <w:r>
        <w:rPr>
          <w:rStyle w:val="Heading4Char"/>
          <w:szCs w:val="24"/>
        </w:rPr>
        <w:t>1</w:t>
      </w:r>
      <w:r w:rsidR="00EC454C">
        <w:rPr>
          <w:rStyle w:val="Heading4Char"/>
          <w:szCs w:val="24"/>
        </w:rPr>
        <w:t>6</w:t>
      </w:r>
      <w:r w:rsidRPr="007D1D1D">
        <w:rPr>
          <w:rStyle w:val="Heading4Char"/>
          <w:szCs w:val="24"/>
        </w:rPr>
        <w:t>:</w:t>
      </w:r>
      <w:r w:rsidRPr="007D1D1D">
        <w:rPr>
          <w:rFonts w:cstheme="minorHAnsi"/>
          <w:b/>
        </w:rPr>
        <w:t xml:space="preserve"> </w:t>
      </w:r>
      <w:r w:rsidRPr="007D1D1D">
        <w:rPr>
          <w:rFonts w:cstheme="minorHAnsi"/>
          <w:b/>
          <w:bCs/>
          <w:color w:val="000000" w:themeColor="text1"/>
        </w:rPr>
        <w:t xml:space="preserve">The </w:t>
      </w:r>
      <w:r w:rsidRPr="007D1D1D">
        <w:rPr>
          <w:rFonts w:cstheme="minorHAnsi"/>
          <w:b/>
          <w:bCs/>
        </w:rPr>
        <w:t>Greater Adelaide Regional Plan</w:t>
      </w:r>
      <w:r w:rsidRPr="007D1D1D">
        <w:rPr>
          <w:rFonts w:cstheme="minorHAnsi"/>
          <w:b/>
          <w:bCs/>
          <w:color w:val="000000" w:themeColor="text1"/>
        </w:rPr>
        <w:t xml:space="preserve"> (GARP) should</w:t>
      </w:r>
      <w:r>
        <w:rPr>
          <w:rFonts w:cstheme="minorHAnsi"/>
          <w:b/>
          <w:bCs/>
          <w:color w:val="000000" w:themeColor="text1"/>
        </w:rPr>
        <w:t xml:space="preserve"> commit the State Planning Commission to</w:t>
      </w:r>
      <w:r w:rsidR="00480B69">
        <w:rPr>
          <w:rFonts w:cstheme="minorHAnsi"/>
          <w:b/>
          <w:bCs/>
          <w:color w:val="000000" w:themeColor="text1"/>
        </w:rPr>
        <w:t xml:space="preserve"> undertaking a</w:t>
      </w:r>
      <w:r>
        <w:rPr>
          <w:rFonts w:cstheme="minorHAnsi"/>
          <w:b/>
          <w:bCs/>
          <w:color w:val="000000" w:themeColor="text1"/>
        </w:rPr>
        <w:t xml:space="preserve"> review</w:t>
      </w:r>
      <w:r w:rsidR="00480B69">
        <w:rPr>
          <w:rFonts w:cstheme="minorHAnsi"/>
          <w:b/>
          <w:bCs/>
          <w:color w:val="000000" w:themeColor="text1"/>
        </w:rPr>
        <w:t xml:space="preserve"> of</w:t>
      </w:r>
      <w:r>
        <w:rPr>
          <w:rFonts w:cstheme="minorHAnsi"/>
          <w:b/>
          <w:bCs/>
          <w:color w:val="000000" w:themeColor="text1"/>
        </w:rPr>
        <w:t xml:space="preserve"> all planning</w:t>
      </w:r>
      <w:r w:rsidR="00CC1147">
        <w:rPr>
          <w:rFonts w:cstheme="minorHAnsi"/>
          <w:b/>
          <w:bCs/>
          <w:color w:val="000000" w:themeColor="text1"/>
        </w:rPr>
        <w:t xml:space="preserve"> rules and</w:t>
      </w:r>
      <w:r>
        <w:rPr>
          <w:rFonts w:cstheme="minorHAnsi"/>
          <w:b/>
          <w:bCs/>
          <w:color w:val="000000" w:themeColor="text1"/>
        </w:rPr>
        <w:t xml:space="preserve"> regulations </w:t>
      </w:r>
      <w:r w:rsidR="00142F2B">
        <w:rPr>
          <w:rFonts w:cstheme="minorHAnsi"/>
          <w:b/>
          <w:bCs/>
          <w:color w:val="000000" w:themeColor="text1"/>
        </w:rPr>
        <w:t>and how they</w:t>
      </w:r>
      <w:r w:rsidR="00AD39F2">
        <w:rPr>
          <w:rFonts w:cstheme="minorHAnsi"/>
          <w:b/>
          <w:bCs/>
          <w:color w:val="000000" w:themeColor="text1"/>
        </w:rPr>
        <w:t xml:space="preserve"> </w:t>
      </w:r>
      <w:r w:rsidR="00142F2B">
        <w:rPr>
          <w:rFonts w:cstheme="minorHAnsi"/>
          <w:b/>
          <w:bCs/>
          <w:color w:val="000000" w:themeColor="text1"/>
        </w:rPr>
        <w:t xml:space="preserve">impede </w:t>
      </w:r>
      <w:r w:rsidR="00D072C1">
        <w:rPr>
          <w:rFonts w:cstheme="minorHAnsi"/>
          <w:b/>
          <w:bCs/>
          <w:color w:val="000000" w:themeColor="text1"/>
        </w:rPr>
        <w:t xml:space="preserve">the goal of </w:t>
      </w:r>
      <w:r w:rsidR="005832DA">
        <w:rPr>
          <w:rFonts w:cstheme="minorHAnsi"/>
          <w:b/>
          <w:bCs/>
          <w:color w:val="000000" w:themeColor="text1"/>
        </w:rPr>
        <w:t xml:space="preserve">increasing </w:t>
      </w:r>
      <w:r w:rsidR="00D4696F">
        <w:rPr>
          <w:rFonts w:cstheme="minorHAnsi"/>
          <w:b/>
          <w:bCs/>
          <w:color w:val="000000" w:themeColor="text1"/>
        </w:rPr>
        <w:t xml:space="preserve">the supply of accessible </w:t>
      </w:r>
      <w:proofErr w:type="spellStart"/>
      <w:r w:rsidR="00CC1147">
        <w:rPr>
          <w:rFonts w:cstheme="minorHAnsi"/>
          <w:b/>
          <w:bCs/>
          <w:color w:val="000000" w:themeColor="text1"/>
        </w:rPr>
        <w:t>livable</w:t>
      </w:r>
      <w:proofErr w:type="spellEnd"/>
      <w:r w:rsidR="00CC1147">
        <w:rPr>
          <w:rFonts w:cstheme="minorHAnsi"/>
          <w:b/>
          <w:bCs/>
          <w:color w:val="000000" w:themeColor="text1"/>
        </w:rPr>
        <w:t xml:space="preserve"> </w:t>
      </w:r>
      <w:r w:rsidR="00D4696F">
        <w:rPr>
          <w:rFonts w:cstheme="minorHAnsi"/>
          <w:b/>
          <w:bCs/>
          <w:color w:val="000000" w:themeColor="text1"/>
        </w:rPr>
        <w:t xml:space="preserve">housing in </w:t>
      </w:r>
      <w:r w:rsidR="00D072C1">
        <w:rPr>
          <w:rFonts w:cstheme="minorHAnsi"/>
          <w:b/>
          <w:bCs/>
          <w:color w:val="000000" w:themeColor="text1"/>
        </w:rPr>
        <w:t>the Greater Adelaide region</w:t>
      </w:r>
      <w:r w:rsidR="00D4696F">
        <w:rPr>
          <w:rFonts w:cstheme="minorHAnsi"/>
          <w:b/>
          <w:bCs/>
          <w:color w:val="000000" w:themeColor="text1"/>
        </w:rPr>
        <w:t xml:space="preserve">. </w:t>
      </w:r>
    </w:p>
    <w:bookmarkEnd w:id="24"/>
    <w:p w14:paraId="5AD56717" w14:textId="2BD426F4" w:rsidR="000D5EC1" w:rsidRDefault="000D5EC1">
      <w:pPr>
        <w:spacing w:after="200" w:line="276" w:lineRule="auto"/>
        <w:rPr>
          <w:rFonts w:cstheme="minorHAnsi"/>
          <w:b/>
          <w:bCs/>
          <w:color w:val="000000" w:themeColor="text1"/>
        </w:rPr>
      </w:pPr>
      <w:r>
        <w:rPr>
          <w:rFonts w:cstheme="minorHAnsi"/>
          <w:b/>
          <w:bCs/>
          <w:color w:val="000000" w:themeColor="text1"/>
        </w:rPr>
        <w:br w:type="page"/>
      </w:r>
    </w:p>
    <w:p w14:paraId="3186455D" w14:textId="77777777" w:rsidR="000D5EC1" w:rsidRDefault="000D5EC1" w:rsidP="000D5EC1">
      <w:pPr>
        <w:pStyle w:val="Heading1"/>
        <w:spacing w:after="160" w:line="360" w:lineRule="auto"/>
      </w:pPr>
      <w:bookmarkStart w:id="25" w:name="_Toc150180123"/>
      <w:r>
        <w:lastRenderedPageBreak/>
        <w:t>Building inclusive neighbourhoods and communities</w:t>
      </w:r>
      <w:bookmarkEnd w:id="25"/>
      <w:r>
        <w:t xml:space="preserve"> </w:t>
      </w:r>
    </w:p>
    <w:p w14:paraId="071FC280" w14:textId="433443E8" w:rsidR="000D5EC1" w:rsidRDefault="000D5EC1" w:rsidP="000D5EC1">
      <w:pPr>
        <w:spacing w:after="160"/>
      </w:pPr>
      <w:r>
        <w:t xml:space="preserve">Inclusive communities are where neighbourhoods are welcoming and inclusive of all their members, where social infrastructure is available and accessible to meet residents’ needs, where kindness is extended to everyone, where social connections are made, and where natural safeguards emerge in people’s lives. But </w:t>
      </w:r>
      <w:r w:rsidR="00CC1147">
        <w:t xml:space="preserve">too </w:t>
      </w:r>
      <w:r>
        <w:t xml:space="preserve">often people are excluded from their neighbourhoods. Some people may not be easily visible to others, perhaps because they rarely venture out. Or because they are receiving assistance from a support provider and leave the house escorted. Or because others notice support workers visiting a house so are less inclined to reach out or even chat over the fence. Where </w:t>
      </w:r>
      <w:r w:rsidR="002B759B">
        <w:t xml:space="preserve">support </w:t>
      </w:r>
      <w:r>
        <w:t xml:space="preserve">professionals are </w:t>
      </w:r>
      <w:r w:rsidR="00A566E9">
        <w:t>obviously</w:t>
      </w:r>
      <w:r w:rsidR="00D96E2F">
        <w:t xml:space="preserve"> present</w:t>
      </w:r>
      <w:r>
        <w:t xml:space="preserve">, where houses resemble facilities, or where the physical environment creates a sense of seclusion, the neighbourhood rhythms created can result in people being disconnected. They are </w:t>
      </w:r>
      <w:r w:rsidRPr="077C32D5">
        <w:rPr>
          <w:i/>
          <w:iCs/>
        </w:rPr>
        <w:t>in</w:t>
      </w:r>
      <w:r>
        <w:t xml:space="preserve"> the neighbourhood, but not </w:t>
      </w:r>
      <w:r w:rsidRPr="077C32D5">
        <w:rPr>
          <w:i/>
          <w:iCs/>
        </w:rPr>
        <w:t>of</w:t>
      </w:r>
      <w:r>
        <w:t xml:space="preserve"> the neighbourhood.</w:t>
      </w:r>
    </w:p>
    <w:p w14:paraId="68756770" w14:textId="151FA1DF" w:rsidR="000D5EC1" w:rsidRDefault="000D5EC1" w:rsidP="000D5EC1">
      <w:pPr>
        <w:spacing w:after="160"/>
      </w:pPr>
      <w:r>
        <w:t xml:space="preserve">The emergence of inclusive neighbourhoods and communities cannot be taken for granted. It takes deliberate intentional actions and investments based on strong pre-planning and good design. Unfortunately, in recent years some new </w:t>
      </w:r>
      <w:proofErr w:type="spellStart"/>
      <w:r>
        <w:t>greenfields</w:t>
      </w:r>
      <w:proofErr w:type="spellEnd"/>
      <w:r>
        <w:t xml:space="preserve"> developments resemble ‘dormitory’ suburbs; places where people sleep but do little else. They commute to other places for everything from work to shopping to recreation. Some may find social connection and a sense of community elsewhere, perhaps at a sporting club they commute to, while others are left isolated and disconnected within a ‘community’ that has little sense of welcome or neighbourliness on offer. Transport options are also likely to be very limited for</w:t>
      </w:r>
      <w:r w:rsidR="00525522">
        <w:t xml:space="preserve"> </w:t>
      </w:r>
      <w:r>
        <w:t xml:space="preserve">those without private vehicles. Munno Para West is one obvious example of a recent ‘dormitory’ development. It is physically disconnected and some distance from Munno Para itself. It has nothing that resembles a neighbourhood hub, no cafes or shops where people gather, no school, only pockets of vegetation and small parks, and no open recreation space where people could be drawn together organically. New rows of houses are added as the development expands toward Munno Para Downs, with the same ‘dormitory’ </w:t>
      </w:r>
      <w:r w:rsidR="00CC1147">
        <w:t xml:space="preserve">style </w:t>
      </w:r>
      <w:r>
        <w:t xml:space="preserve">approach repeated. </w:t>
      </w:r>
    </w:p>
    <w:p w14:paraId="7B0E23B4" w14:textId="719ACDE2" w:rsidR="000D5EC1" w:rsidRDefault="000D5EC1" w:rsidP="000D5EC1">
      <w:pPr>
        <w:spacing w:after="160"/>
      </w:pPr>
      <w:r>
        <w:t xml:space="preserve">The GARP should act as a circuit breaker on new ‘dormitory’ style developments and give </w:t>
      </w:r>
      <w:r w:rsidR="3CE5D2F2">
        <w:t>focused</w:t>
      </w:r>
      <w:r>
        <w:t xml:space="preserve"> attention to actions and investments that will ensure inclusiveness and neighbourliness become central features of all communities in the region. This is the </w:t>
      </w:r>
      <w:r w:rsidR="00CC1147">
        <w:t>second</w:t>
      </w:r>
      <w:r>
        <w:t xml:space="preserve"> </w:t>
      </w:r>
      <w:r>
        <w:lastRenderedPageBreak/>
        <w:t xml:space="preserve">critical element that is largely overlooked in the Discussion </w:t>
      </w:r>
      <w:proofErr w:type="gramStart"/>
      <w:r>
        <w:t>Paper</w:t>
      </w:r>
      <w:proofErr w:type="gramEnd"/>
      <w:r>
        <w:t xml:space="preserve"> and its importance is the focus of this part of our submission. Overarching terms like ‘liveability’ tend to influence thinking at a high level but fail to capture the essence of what strong inclusive communities need on the ground at a grassroots level. Hence, the GARP should provide clear guidance </w:t>
      </w:r>
      <w:r w:rsidR="00E43BE1">
        <w:t>on</w:t>
      </w:r>
      <w:r>
        <w:t xml:space="preserve"> what development conditions and design features provide the best foundations for the emergence of new inclusive</w:t>
      </w:r>
      <w:r w:rsidR="00232EC2">
        <w:t>,</w:t>
      </w:r>
      <w:r>
        <w:t xml:space="preserve"> welcoming</w:t>
      </w:r>
      <w:r w:rsidR="00A566E9">
        <w:t>,</w:t>
      </w:r>
      <w:r>
        <w:t xml:space="preserve"> </w:t>
      </w:r>
      <w:r w:rsidR="00850163">
        <w:t xml:space="preserve">and </w:t>
      </w:r>
      <w:r>
        <w:t>connected neighbourhoods, how the same can be encouraged</w:t>
      </w:r>
      <w:r w:rsidR="00232EC2">
        <w:t>, implemented</w:t>
      </w:r>
      <w:r w:rsidR="00A566E9">
        <w:t>,</w:t>
      </w:r>
      <w:r>
        <w:t xml:space="preserve"> and sustained in existing communities where elements may already be present, and what can be done to ‘retrofit’ this to ‘dormitory’ style </w:t>
      </w:r>
      <w:r w:rsidR="00CC1147">
        <w:t xml:space="preserve">developments and </w:t>
      </w:r>
      <w:r>
        <w:t xml:space="preserve">suburbs. </w:t>
      </w:r>
    </w:p>
    <w:p w14:paraId="687C9F6F" w14:textId="11C8364E" w:rsidR="000D5EC1" w:rsidRDefault="000D5EC1" w:rsidP="000D5EC1">
      <w:pPr>
        <w:spacing w:after="160"/>
      </w:pPr>
      <w:bookmarkStart w:id="26" w:name="_Hlk150179666"/>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17</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clearly define the characteristics of the style of neighbourhoods it seeks to build and identify the key elements of planning, design, and construction that will produce this outcome. It should focus on how Greater Adelaide grows in ways that create and enhance inclusion, connectedness, neighbourliness, and </w:t>
      </w:r>
      <w:r w:rsidR="00050517">
        <w:rPr>
          <w:rFonts w:ascii="Calibri" w:eastAsia="Calibri" w:hAnsi="Calibri" w:cs="Calibri"/>
          <w:b/>
          <w:bCs/>
          <w:color w:val="000000" w:themeColor="text1"/>
        </w:rPr>
        <w:t>a genuine</w:t>
      </w:r>
      <w:r>
        <w:rPr>
          <w:rFonts w:ascii="Calibri" w:eastAsia="Calibri" w:hAnsi="Calibri" w:cs="Calibri"/>
          <w:b/>
          <w:bCs/>
          <w:color w:val="000000" w:themeColor="text1"/>
        </w:rPr>
        <w:t xml:space="preserve"> sense of welcome.</w:t>
      </w:r>
    </w:p>
    <w:bookmarkEnd w:id="26"/>
    <w:p w14:paraId="0FFD46A9" w14:textId="77777777" w:rsidR="000D5EC1" w:rsidRPr="003E7D1F" w:rsidRDefault="000D5EC1" w:rsidP="000D5EC1">
      <w:pPr>
        <w:spacing w:after="160"/>
      </w:pPr>
    </w:p>
    <w:p w14:paraId="028C7300" w14:textId="77777777" w:rsidR="000D5EC1" w:rsidRPr="008B120B" w:rsidRDefault="000D5EC1" w:rsidP="000D5EC1">
      <w:pPr>
        <w:pStyle w:val="Heading2"/>
        <w:spacing w:after="160" w:line="360" w:lineRule="auto"/>
      </w:pPr>
      <w:bookmarkStart w:id="27" w:name="_Toc150180124"/>
      <w:r>
        <w:t>Changing negative attitudes and creating connections</w:t>
      </w:r>
      <w:bookmarkEnd w:id="27"/>
    </w:p>
    <w:p w14:paraId="3AA9FED8" w14:textId="193F3A8A" w:rsidR="00B31986" w:rsidRDefault="000D5EC1" w:rsidP="000D5EC1">
      <w:pPr>
        <w:spacing w:after="160"/>
      </w:pPr>
      <w:r w:rsidRPr="00887CA7">
        <w:t>An inclusive community benefits from the participation and contribution of all its members, bringing a diversity of voices, ideas, and perspectives into decision-making, activities and events, businesses, and general community life. It is this diversity that makes community life rich, interesting, and dynamic for the benefit of all</w:t>
      </w:r>
      <w:r>
        <w:t xml:space="preserve">. </w:t>
      </w:r>
      <w:r w:rsidRPr="009F0332">
        <w:t xml:space="preserve">Despite improvements in recent years, negative attitudes towards </w:t>
      </w:r>
      <w:r>
        <w:t xml:space="preserve">various groups in our communities including </w:t>
      </w:r>
      <w:r w:rsidRPr="009F0332">
        <w:t xml:space="preserve">people living with disability persist. Many non-disabled Australians do not </w:t>
      </w:r>
      <w:r>
        <w:t>regularly</w:t>
      </w:r>
      <w:r w:rsidRPr="009F0332">
        <w:t xml:space="preserve"> interact with people </w:t>
      </w:r>
      <w:r>
        <w:t>living</w:t>
      </w:r>
      <w:r w:rsidRPr="009F0332">
        <w:t xml:space="preserve"> with disability and have limited understanding of inclusion or the benefits of embracing </w:t>
      </w:r>
      <w:r>
        <w:t>diversity and all</w:t>
      </w:r>
      <w:r w:rsidRPr="009F0332">
        <w:t xml:space="preserve"> member</w:t>
      </w:r>
      <w:r>
        <w:t>s</w:t>
      </w:r>
      <w:r w:rsidRPr="009F0332">
        <w:t xml:space="preserve"> of the</w:t>
      </w:r>
      <w:r>
        <w:t>ir</w:t>
      </w:r>
      <w:r w:rsidRPr="009F0332">
        <w:t xml:space="preserve"> community. </w:t>
      </w:r>
      <w:r>
        <w:t>Those who ‘fit in’ usually overlook the socially constructed norms that enable this while excluding and shaming others</w:t>
      </w:r>
      <w:r w:rsidR="00F31B20">
        <w:t xml:space="preserve"> (even if unintentional)</w:t>
      </w:r>
      <w:r>
        <w:t xml:space="preserve">. </w:t>
      </w:r>
    </w:p>
    <w:p w14:paraId="612483EA" w14:textId="5C6F7360" w:rsidR="000D5EC1" w:rsidRDefault="000D5EC1" w:rsidP="000D5EC1">
      <w:pPr>
        <w:spacing w:after="160"/>
      </w:pPr>
      <w:r w:rsidRPr="009F0332">
        <w:t>The barriers faced by people living with disability are not the result of physical, intellectual</w:t>
      </w:r>
      <w:r>
        <w:t>,</w:t>
      </w:r>
      <w:r w:rsidRPr="009F0332">
        <w:t xml:space="preserve"> or psychological impairments, but stem from the way society is structured</w:t>
      </w:r>
      <w:r>
        <w:t>,</w:t>
      </w:r>
      <w:r w:rsidRPr="009F0332">
        <w:t xml:space="preserve"> functions</w:t>
      </w:r>
      <w:r>
        <w:t>, and perpetuates ‘othering’</w:t>
      </w:r>
      <w:r w:rsidRPr="009F0332">
        <w:t>. Exclusionary practices, such as segregated schooling, housing, transport, employment</w:t>
      </w:r>
      <w:r>
        <w:t>,</w:t>
      </w:r>
      <w:r w:rsidRPr="009F0332">
        <w:t xml:space="preserve"> and social programs are common and widely accepted as the norm</w:t>
      </w:r>
      <w:r>
        <w:t>,</w:t>
      </w:r>
      <w:r w:rsidRPr="009F0332">
        <w:t xml:space="preserve"> </w:t>
      </w:r>
      <w:r>
        <w:lastRenderedPageBreak/>
        <w:t xml:space="preserve">but </w:t>
      </w:r>
      <w:r w:rsidRPr="009F0332">
        <w:t xml:space="preserve">this must continue to change. An appreciation of diversity </w:t>
      </w:r>
      <w:r>
        <w:t xml:space="preserve">in all its forms </w:t>
      </w:r>
      <w:r w:rsidRPr="009F0332">
        <w:t>needs to be woven in</w:t>
      </w:r>
      <w:r>
        <w:t>to lives</w:t>
      </w:r>
      <w:r w:rsidRPr="009F0332">
        <w:t xml:space="preserve"> from an early age to </w:t>
      </w:r>
      <w:r>
        <w:t xml:space="preserve">facilitate </w:t>
      </w:r>
      <w:r w:rsidRPr="009F0332">
        <w:t>the way</w:t>
      </w:r>
      <w:r>
        <w:t>s</w:t>
      </w:r>
      <w:r w:rsidRPr="009F0332">
        <w:t xml:space="preserve"> we think, feel</w:t>
      </w:r>
      <w:r>
        <w:t>,</w:t>
      </w:r>
      <w:r w:rsidRPr="009F0332">
        <w:t xml:space="preserve"> and act</w:t>
      </w:r>
      <w:r>
        <w:t xml:space="preserve"> towards people living with disability</w:t>
      </w:r>
      <w:r w:rsidRPr="009F0332">
        <w:t>.</w:t>
      </w:r>
    </w:p>
    <w:p w14:paraId="50E59BB3" w14:textId="77777777" w:rsidR="000D5EC1" w:rsidRDefault="000D5EC1" w:rsidP="000D5EC1">
      <w:pPr>
        <w:spacing w:after="160"/>
      </w:pPr>
      <w:r w:rsidRPr="00763DC6">
        <w:t xml:space="preserve">Inclusive neighbourhoods create positive casual interactions between people living with disability and non-disabled members of the community, breaking down stereotypes and supporting meaningful connection. This </w:t>
      </w:r>
      <w:r>
        <w:t xml:space="preserve">is </w:t>
      </w:r>
      <w:r w:rsidRPr="00763DC6">
        <w:t>further harnessed by increased participation of people living with disability in mainstream education</w:t>
      </w:r>
      <w:r>
        <w:t>, employment, and community</w:t>
      </w:r>
      <w:r w:rsidRPr="00763DC6">
        <w:t xml:space="preserve"> settings.</w:t>
      </w:r>
      <w:r>
        <w:t xml:space="preserve"> It has implications for how we plan, design, and develop new communities in growth areas. Planners and designers need to give more attention to how and where residents will interact, get to know one another, and build connections, and ensure the elements that will facilitate this are present and planned for in all developments.</w:t>
      </w:r>
    </w:p>
    <w:p w14:paraId="42B7AFAA" w14:textId="261F1C46" w:rsidR="00B31986" w:rsidRDefault="000D5EC1" w:rsidP="000D5EC1">
      <w:pPr>
        <w:spacing w:after="160"/>
      </w:pPr>
      <w:r>
        <w:t xml:space="preserve">The approaches taken by those developing Intentional Communities are useful to informing how to plan and design for interaction and connection. These communities provide a mix of places and spaces that encourage incidental interaction, such as </w:t>
      </w:r>
      <w:r w:rsidR="00FA623D">
        <w:t xml:space="preserve">accessible </w:t>
      </w:r>
      <w:r>
        <w:t xml:space="preserve">walking paths, and more formal community hub-style places to facilitate connections and relationship building between people in communities. Often, these integrate environmental aspects to ensure greener sustainable communities, for example a community park with a pond that is also part of a stormwater management system or a community garden that utilises the residents’ organic waste. </w:t>
      </w:r>
    </w:p>
    <w:p w14:paraId="1392FDE4" w14:textId="26A27D8F" w:rsidR="000D5EC1" w:rsidRDefault="000D5EC1" w:rsidP="000D5EC1">
      <w:pPr>
        <w:spacing w:after="160"/>
      </w:pPr>
      <w:r>
        <w:t>These communities are designed with intention to support the wellbeing of those who will live within them and prioritise the human need for connection and fellowship as a core part of the approach. They make it easy for the residents who will live there to connect with one another. We believe a</w:t>
      </w:r>
      <w:r w:rsidRPr="00E2487A">
        <w:t>ll developments should be planned and built with creating neighbourhoods at front of mind.</w:t>
      </w:r>
      <w:r>
        <w:t xml:space="preserve"> The GARP should provide a set of guidelines or standards about how this is achieved to help facilitate this outcome. </w:t>
      </w:r>
    </w:p>
    <w:p w14:paraId="0922E1D5" w14:textId="0E3CE52A" w:rsidR="000D5EC1" w:rsidRDefault="000D5EC1" w:rsidP="000D5EC1">
      <w:pPr>
        <w:spacing w:after="160"/>
        <w:rPr>
          <w:rFonts w:ascii="Calibri" w:eastAsia="Calibri" w:hAnsi="Calibri" w:cs="Calibri"/>
          <w:b/>
          <w:bCs/>
          <w:color w:val="000000" w:themeColor="text1"/>
        </w:rPr>
      </w:pPr>
      <w:bookmarkStart w:id="28" w:name="_Hlk150179674"/>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18</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recognise the impact of negative attitudes, stigma, and stereotypes for people living with disability and include actions to breakdown these barriers, including by addressing the need to plan, design, and develop in ways that will facilitate interactions and connections between people in neighbourhoods. </w:t>
      </w:r>
    </w:p>
    <w:p w14:paraId="65D80C69" w14:textId="56E05953" w:rsidR="000D5EC1" w:rsidRDefault="00EC454C" w:rsidP="000D5EC1">
      <w:pPr>
        <w:pStyle w:val="Heading2"/>
        <w:spacing w:after="160" w:line="360" w:lineRule="auto"/>
      </w:pPr>
      <w:bookmarkStart w:id="29" w:name="_Toc150180125"/>
      <w:bookmarkEnd w:id="28"/>
      <w:r>
        <w:lastRenderedPageBreak/>
        <w:t>Facilitating</w:t>
      </w:r>
      <w:r w:rsidR="000D5EC1">
        <w:t xml:space="preserve"> natural safeguards</w:t>
      </w:r>
      <w:bookmarkEnd w:id="29"/>
    </w:p>
    <w:p w14:paraId="2C60F7E8" w14:textId="77777777" w:rsidR="000D5EC1" w:rsidRDefault="000D5EC1" w:rsidP="000D5EC1">
      <w:pPr>
        <w:spacing w:after="160"/>
      </w:pPr>
      <w:r w:rsidRPr="00997394">
        <w:t xml:space="preserve">The link between social isolation and loneliness and people’s physical and mental health is not a new concept. Over the years many researchers have tackled the topic </w:t>
      </w:r>
      <w:r>
        <w:t>with</w:t>
      </w:r>
      <w:r w:rsidRPr="00997394">
        <w:t xml:space="preserve"> similar conclusions – if people are excluded from society, the more prevalent loneliness and isolation</w:t>
      </w:r>
      <w:r>
        <w:t xml:space="preserve"> </w:t>
      </w:r>
      <w:proofErr w:type="gramStart"/>
      <w:r>
        <w:t>becomes</w:t>
      </w:r>
      <w:proofErr w:type="gramEnd"/>
      <w:r>
        <w:t>, particularly</w:t>
      </w:r>
      <w:r w:rsidRPr="00997394">
        <w:t xml:space="preserve"> among </w:t>
      </w:r>
      <w:r>
        <w:t>some</w:t>
      </w:r>
      <w:r w:rsidRPr="00997394">
        <w:t xml:space="preserve"> population groups</w:t>
      </w:r>
      <w:r>
        <w:t xml:space="preserve"> like people living with disability</w:t>
      </w:r>
      <w:r w:rsidRPr="00997394">
        <w:t>, resulting in a decrease in people’s physical and mental health</w:t>
      </w:r>
      <w:r>
        <w:t>. This</w:t>
      </w:r>
      <w:r w:rsidRPr="00997394">
        <w:t xml:space="preserve"> places more strain on our already struggling healthcare system</w:t>
      </w:r>
      <w:r>
        <w:t xml:space="preserve">s </w:t>
      </w:r>
      <w:proofErr w:type="gramStart"/>
      <w:r>
        <w:t>and also</w:t>
      </w:r>
      <w:proofErr w:type="gramEnd"/>
      <w:r>
        <w:t xml:space="preserve"> reduces life expectancy</w:t>
      </w:r>
      <w:r w:rsidRPr="00997394">
        <w:t>.</w:t>
      </w:r>
      <w:r>
        <w:t xml:space="preserve"> On the other hand, inclusive communities ‘</w:t>
      </w:r>
      <w:r w:rsidRPr="000357CC">
        <w:t xml:space="preserve">foster strong connections to people, place and nature. Such connections nourish people </w:t>
      </w:r>
      <w:r>
        <w:t>–</w:t>
      </w:r>
      <w:r w:rsidRPr="000357CC">
        <w:t xml:space="preserve"> physically, mentally, and spiritually – and provide a sense of wellbeing and belonging.</w:t>
      </w:r>
      <w:r>
        <w:t>’</w:t>
      </w:r>
      <w:r>
        <w:rPr>
          <w:rStyle w:val="FootnoteReference"/>
        </w:rPr>
        <w:footnoteReference w:id="14"/>
      </w:r>
    </w:p>
    <w:p w14:paraId="1F133801" w14:textId="77777777" w:rsidR="000D5EC1" w:rsidRDefault="000D5EC1" w:rsidP="000D5EC1">
      <w:pPr>
        <w:spacing w:after="160"/>
      </w:pPr>
      <w:r>
        <w:t xml:space="preserve">Freely given relationships are the greatest protections and natural safeguards for us all, including people living with disability. </w:t>
      </w:r>
      <w:r w:rsidRPr="001D4928">
        <w:t xml:space="preserve">When people living with disability are </w:t>
      </w:r>
      <w:r>
        <w:t xml:space="preserve">separated, </w:t>
      </w:r>
      <w:r w:rsidRPr="001D4928">
        <w:t>isolated</w:t>
      </w:r>
      <w:r>
        <w:t>,</w:t>
      </w:r>
      <w:r w:rsidRPr="001D4928">
        <w:t xml:space="preserve"> and disconnected from their community, this can lead to a life of exclusion and vulnerability to violence, abuse, neglect</w:t>
      </w:r>
      <w:r>
        <w:t>,</w:t>
      </w:r>
      <w:r w:rsidRPr="001D4928">
        <w:t xml:space="preserve"> </w:t>
      </w:r>
      <w:r>
        <w:t>or</w:t>
      </w:r>
      <w:r w:rsidRPr="001D4928">
        <w:t xml:space="preserve"> exploitation. The more inclusive </w:t>
      </w:r>
      <w:r>
        <w:t>communities and neighbourhoods are</w:t>
      </w:r>
      <w:r w:rsidRPr="001D4928">
        <w:t>, the more likely it is that people living with disability will have informal support networks</w:t>
      </w:r>
      <w:r>
        <w:t>, which create</w:t>
      </w:r>
      <w:r w:rsidRPr="001D4928">
        <w:t xml:space="preserve"> natural safeguards.</w:t>
      </w:r>
    </w:p>
    <w:p w14:paraId="3F584519" w14:textId="77777777" w:rsidR="000D5EC1" w:rsidRDefault="000D5EC1" w:rsidP="000D5EC1">
      <w:pPr>
        <w:spacing w:after="160"/>
      </w:pPr>
      <w:r>
        <w:t xml:space="preserve">Inclusive neighbourhoods pave the way for people living with disability to build informal social networks with neighbours and other members of their local community. This might be as simple as a person visiting the local library or a café weekly and becoming known by staff, or a person organising regular catch ups with neighbours, or attending the local community garden. These connections can serve as an important natural safeguard, as community members would notice and check in if the person was absent unexpectedly or for a significant </w:t>
      </w:r>
      <w:proofErr w:type="gramStart"/>
      <w:r>
        <w:t>period of time</w:t>
      </w:r>
      <w:proofErr w:type="gramEnd"/>
      <w:r>
        <w:t xml:space="preserve">. </w:t>
      </w:r>
    </w:p>
    <w:p w14:paraId="385F958B" w14:textId="21A1A120" w:rsidR="000D5EC1" w:rsidRDefault="000D5EC1" w:rsidP="000D5EC1">
      <w:pPr>
        <w:spacing w:after="160"/>
      </w:pPr>
      <w:r>
        <w:t xml:space="preserve">The tragic death of Ann Marie Smith in 2020 shocked South Australians and the nation. Ms Smith, who lived with </w:t>
      </w:r>
      <w:proofErr w:type="spellStart"/>
      <w:r>
        <w:t>Cerebal</w:t>
      </w:r>
      <w:proofErr w:type="spellEnd"/>
      <w:r>
        <w:t xml:space="preserve"> Palsy, died in hospital from septic shock, multiple organ failure, severe pressure sores, and malnourishment. Ms Smith was cut off from her neighbourhood and community with her only contact being her support worker, who has </w:t>
      </w:r>
      <w:r>
        <w:lastRenderedPageBreak/>
        <w:t xml:space="preserve">since been jailed for manslaughter. Devastatingly, Ms Smith had very minimal community connections that could have given rise to concern over her health and welfare. The case highlighted the inadequacies of relying on formal safeguards like a complaints system. Instead, we must work toward creating and strengthening natural safeguards between people </w:t>
      </w:r>
      <w:r w:rsidR="00B31986">
        <w:t>with</w:t>
      </w:r>
      <w:r>
        <w:t>in neighbourhoods and communities</w:t>
      </w:r>
      <w:r w:rsidR="00B31986">
        <w:t xml:space="preserve"> and to support this through intentional planning and design</w:t>
      </w:r>
      <w:r>
        <w:t xml:space="preserve">. </w:t>
      </w:r>
    </w:p>
    <w:p w14:paraId="45F8B795" w14:textId="0F0CE420" w:rsidR="000D5EC1" w:rsidRDefault="000D5EC1" w:rsidP="000D5EC1">
      <w:pPr>
        <w:spacing w:after="160"/>
      </w:pPr>
      <w:bookmarkStart w:id="30" w:name="_Hlk150179682"/>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19</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recognise and reinforce the important role neighbourhoods and communities </w:t>
      </w:r>
      <w:r w:rsidR="001A71BE">
        <w:rPr>
          <w:rFonts w:ascii="Calibri" w:eastAsia="Calibri" w:hAnsi="Calibri" w:cs="Calibri"/>
          <w:b/>
          <w:bCs/>
          <w:color w:val="000000" w:themeColor="text1"/>
        </w:rPr>
        <w:t xml:space="preserve">that are </w:t>
      </w:r>
      <w:r>
        <w:rPr>
          <w:rFonts w:ascii="Calibri" w:eastAsia="Calibri" w:hAnsi="Calibri" w:cs="Calibri"/>
          <w:b/>
          <w:bCs/>
          <w:color w:val="000000" w:themeColor="text1"/>
        </w:rPr>
        <w:t>planned, designed, and built for inclusion and connection can play in creating mutual natural safeguards between people, especially those experiencing isolation and disconnection.</w:t>
      </w:r>
    </w:p>
    <w:bookmarkEnd w:id="30"/>
    <w:p w14:paraId="71A7B0E8" w14:textId="77777777" w:rsidR="000D5EC1" w:rsidRDefault="000D5EC1" w:rsidP="000D5EC1">
      <w:pPr>
        <w:spacing w:after="160"/>
      </w:pPr>
    </w:p>
    <w:p w14:paraId="493AB60F" w14:textId="77777777" w:rsidR="000D5EC1" w:rsidRPr="00EB417E" w:rsidRDefault="000D5EC1" w:rsidP="000D5EC1">
      <w:pPr>
        <w:pStyle w:val="Heading2"/>
        <w:spacing w:after="160" w:line="360" w:lineRule="auto"/>
      </w:pPr>
      <w:bookmarkStart w:id="31" w:name="_Toc150180126"/>
      <w:r>
        <w:t>Initiatives to promote neighbourliness and a sense of belonging</w:t>
      </w:r>
      <w:bookmarkEnd w:id="31"/>
    </w:p>
    <w:p w14:paraId="6C672800" w14:textId="462489F1" w:rsidR="000D5EC1" w:rsidRDefault="000D5EC1" w:rsidP="000D5EC1">
      <w:pPr>
        <w:spacing w:after="160"/>
      </w:pPr>
      <w:r>
        <w:t xml:space="preserve">Inclusive neighbourhoods are characterised by the rhythms of neighbourliness and sense of mutual belonging. Sometimes this may emerge organically, usually </w:t>
      </w:r>
      <w:proofErr w:type="gramStart"/>
      <w:r>
        <w:t>as a result of</w:t>
      </w:r>
      <w:proofErr w:type="gramEnd"/>
      <w:r>
        <w:t xml:space="preserve"> the initiative and community spirit of one or a couple of proactive community members</w:t>
      </w:r>
      <w:r w:rsidR="00B31986">
        <w:t>,</w:t>
      </w:r>
      <w:r>
        <w:t xml:space="preserve"> but more often it requires deliberate and intentional actions at least to start something that can then grow. These initiatives are not expensive </w:t>
      </w:r>
      <w:r w:rsidR="67E6CD1E">
        <w:t xml:space="preserve">as </w:t>
      </w:r>
      <w:r>
        <w:t xml:space="preserve">they harness the community mindedness that already exists in communities. Usually, a small seed grant or investment is enough to set an activity or regular event up that will then be sustained by volunteer contributions and local momentum. Ultimately, these initiatives pay dividends far exceeding the original financial investment. </w:t>
      </w:r>
    </w:p>
    <w:p w14:paraId="4C767DF0" w14:textId="3ACB1DA1" w:rsidR="000D5EC1" w:rsidRDefault="000D5EC1" w:rsidP="000D5EC1">
      <w:pPr>
        <w:spacing w:after="160"/>
      </w:pPr>
      <w:r>
        <w:t xml:space="preserve">Sometimes the seed from which neighbourliness grows is a gathering place rather </w:t>
      </w:r>
      <w:r w:rsidR="7BAD1600">
        <w:t>th</w:t>
      </w:r>
      <w:r>
        <w:t xml:space="preserve">an activity or event. </w:t>
      </w:r>
      <w:r w:rsidRPr="005F2D6F">
        <w:t xml:space="preserve">American urban sociologist Ray Oldenburg developed the notion of the </w:t>
      </w:r>
      <w:r>
        <w:t>‘</w:t>
      </w:r>
      <w:r w:rsidRPr="005F2D6F">
        <w:t>third place</w:t>
      </w:r>
      <w:r>
        <w:t>’</w:t>
      </w:r>
      <w:r w:rsidRPr="005F2D6F">
        <w:t>: inclusively social places that are crucial for all people to live a healthy good life.</w:t>
      </w:r>
      <w:r w:rsidR="009A748B">
        <w:rPr>
          <w:rStyle w:val="FootnoteReference"/>
        </w:rPr>
        <w:footnoteReference w:id="15"/>
      </w:r>
      <w:r w:rsidRPr="005F2D6F">
        <w:t xml:space="preserve"> The </w:t>
      </w:r>
      <w:r>
        <w:t>‘</w:t>
      </w:r>
      <w:r w:rsidRPr="005F2D6F">
        <w:t>third place</w:t>
      </w:r>
      <w:r>
        <w:t>’</w:t>
      </w:r>
      <w:r w:rsidRPr="005F2D6F">
        <w:t xml:space="preserve"> is not the home (</w:t>
      </w:r>
      <w:r>
        <w:t>‘</w:t>
      </w:r>
      <w:r w:rsidRPr="005F2D6F">
        <w:t>first place</w:t>
      </w:r>
      <w:r>
        <w:t>’</w:t>
      </w:r>
      <w:r w:rsidRPr="005F2D6F">
        <w:t>) or work setting (</w:t>
      </w:r>
      <w:r>
        <w:t>‘</w:t>
      </w:r>
      <w:r w:rsidRPr="005F2D6F">
        <w:t>second place</w:t>
      </w:r>
      <w:r>
        <w:t>’</w:t>
      </w:r>
      <w:r w:rsidRPr="005F2D6F">
        <w:t xml:space="preserve">) but exists within the community </w:t>
      </w:r>
      <w:r>
        <w:t>–</w:t>
      </w:r>
      <w:r w:rsidRPr="005F2D6F">
        <w:t xml:space="preserve"> </w:t>
      </w:r>
      <w:r>
        <w:t xml:space="preserve">at </w:t>
      </w:r>
      <w:r w:rsidRPr="005F2D6F">
        <w:t>cafés, pubs, libraries, s</w:t>
      </w:r>
      <w:r>
        <w:t>hops</w:t>
      </w:r>
      <w:r w:rsidRPr="005F2D6F">
        <w:t>, playgrounds, churches, sports and recreation centres</w:t>
      </w:r>
      <w:r>
        <w:t>, and so forth</w:t>
      </w:r>
      <w:r w:rsidRPr="005F2D6F">
        <w:t xml:space="preserve">. They are places where people from all walks of life </w:t>
      </w:r>
      <w:r w:rsidRPr="005F2D6F">
        <w:lastRenderedPageBreak/>
        <w:t xml:space="preserve">come together equally. </w:t>
      </w:r>
      <w:r>
        <w:t>Concerningly, the Discussion Paper elevates the requirement for land for housing and jobs throughout, without mentioning these important community places.</w:t>
      </w:r>
      <w:r>
        <w:rPr>
          <w:rStyle w:val="FootnoteReference"/>
        </w:rPr>
        <w:footnoteReference w:id="16"/>
      </w:r>
    </w:p>
    <w:p w14:paraId="78CA366D" w14:textId="000FB7A4" w:rsidR="000D5EC1" w:rsidRDefault="000D5EC1" w:rsidP="000D5EC1">
      <w:pPr>
        <w:spacing w:after="160"/>
      </w:pPr>
      <w:r>
        <w:t>The nature of activities, events, places</w:t>
      </w:r>
      <w:r w:rsidR="00A566E9">
        <w:t>,</w:t>
      </w:r>
      <w:r>
        <w:t xml:space="preserve"> and spaces for community connection will vary by location. People living in a seaside community will be drawn to the beach while for those living in a Hills community it is likely to be a park or natural setting. </w:t>
      </w:r>
      <w:r w:rsidR="00A566E9">
        <w:t>Therefore, i</w:t>
      </w:r>
      <w:r>
        <w:t xml:space="preserve">t is important to avoid </w:t>
      </w:r>
      <w:r w:rsidR="00A566E9">
        <w:t xml:space="preserve">a </w:t>
      </w:r>
      <w:r>
        <w:t>one-size-fits all approach. Not only are these less likely to be sustained, but it is the uniqueness of each community that builds a sense of community pride, cohesion, shared interest, and positive energy. Funding should support ideas that come from within local communities at a grassroots level. It does not typically require a community development approach, but a relatively hands off support role that provides information to locals about how to go about creating an initiative and what resources are available t</w:t>
      </w:r>
      <w:r w:rsidR="009A748B">
        <w:t>hat they can draw upon</w:t>
      </w:r>
      <w:r>
        <w:t xml:space="preserve">. It is local people taking local action. And it must not be disability-specific – it should be designed and implemented in ways that draw everyone in, including those who are harder to reach and engage due to greater social isolation.  </w:t>
      </w:r>
    </w:p>
    <w:p w14:paraId="0096F66D" w14:textId="17C7AA8D" w:rsidR="000D5EC1" w:rsidRDefault="000D5EC1" w:rsidP="000D5EC1">
      <w:pPr>
        <w:spacing w:after="160"/>
        <w:rPr>
          <w:rFonts w:ascii="Calibri" w:eastAsia="Calibri" w:hAnsi="Calibri" w:cs="Calibri"/>
          <w:b/>
          <w:bCs/>
          <w:color w:val="000000" w:themeColor="text1"/>
        </w:rPr>
      </w:pPr>
      <w:bookmarkStart w:id="32" w:name="_Hlk150179691"/>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20</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w:t>
      </w:r>
      <w:r>
        <w:rPr>
          <w:rFonts w:ascii="Calibri" w:eastAsia="Calibri" w:hAnsi="Calibri" w:cs="Calibri"/>
          <w:b/>
          <w:bCs/>
          <w:color w:val="000000" w:themeColor="text1"/>
        </w:rPr>
        <w:t xml:space="preserve">d include actions and outcomes regarding funding small seed grants or similar for local grassroots projects in support of inclusive connected neighbourhoods and communities. </w:t>
      </w:r>
    </w:p>
    <w:p w14:paraId="04E71E69" w14:textId="5DEFEBEF" w:rsidR="000D5EC1" w:rsidRPr="003C28A8" w:rsidRDefault="000D5EC1" w:rsidP="000D5EC1">
      <w:pPr>
        <w:spacing w:after="160"/>
      </w:pPr>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2</w:t>
      </w:r>
      <w:r w:rsidR="00EC454C">
        <w:rPr>
          <w:rStyle w:val="Heading4Char"/>
          <w:rFonts w:ascii="Calibri" w:eastAsia="Calibri" w:hAnsi="Calibri" w:cs="Calibri"/>
          <w:bCs/>
          <w:szCs w:val="24"/>
        </w:rPr>
        <w:t>1</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w:t>
      </w:r>
      <w:r>
        <w:rPr>
          <w:rFonts w:ascii="Calibri" w:eastAsia="Calibri" w:hAnsi="Calibri" w:cs="Calibri"/>
          <w:b/>
          <w:bCs/>
          <w:color w:val="000000" w:themeColor="text1"/>
        </w:rPr>
        <w:t>d elevate the essential role of community places and spaces in addition to land for houses and jobs. Community places and spaces should be part of every development plan and design for where Greater Adelaide should grow.</w:t>
      </w:r>
    </w:p>
    <w:bookmarkEnd w:id="32"/>
    <w:p w14:paraId="03BFFBFE" w14:textId="3F6E1D86" w:rsidR="00916D7C" w:rsidRDefault="00916D7C" w:rsidP="004077B2">
      <w:pPr>
        <w:spacing w:after="160"/>
        <w:rPr>
          <w:rFonts w:cstheme="minorHAnsi"/>
          <w:b/>
          <w:color w:val="522E91"/>
          <w:sz w:val="32"/>
          <w:szCs w:val="32"/>
        </w:rPr>
      </w:pPr>
      <w:r>
        <w:br w:type="page"/>
      </w:r>
    </w:p>
    <w:p w14:paraId="2CED5412" w14:textId="2ABE3675" w:rsidR="005C1237" w:rsidRDefault="002A46A7" w:rsidP="005E4064">
      <w:pPr>
        <w:pStyle w:val="Heading1"/>
        <w:spacing w:after="160" w:line="360" w:lineRule="auto"/>
      </w:pPr>
      <w:bookmarkStart w:id="33" w:name="_Toc150180127"/>
      <w:r>
        <w:lastRenderedPageBreak/>
        <w:t>Prioritising accessible communities</w:t>
      </w:r>
      <w:bookmarkEnd w:id="33"/>
    </w:p>
    <w:p w14:paraId="15B40026" w14:textId="66C79779" w:rsidR="008E1553" w:rsidRDefault="009A748B" w:rsidP="005E4064">
      <w:pPr>
        <w:spacing w:after="160"/>
      </w:pPr>
      <w:r>
        <w:t>The i</w:t>
      </w:r>
      <w:r w:rsidR="00F27C4C">
        <w:t xml:space="preserve">naccessibility of communities and social infrastructure continues to be a significant barrier to </w:t>
      </w:r>
      <w:r w:rsidR="00767835">
        <w:t xml:space="preserve">the full participation of many </w:t>
      </w:r>
      <w:r w:rsidR="00017931">
        <w:t xml:space="preserve">people in the community life of Greater Adelaide. These barriers </w:t>
      </w:r>
      <w:r w:rsidR="006F04DA">
        <w:t>prevent people accessing and using essential services</w:t>
      </w:r>
      <w:r w:rsidR="00D818F8">
        <w:t xml:space="preserve"> and participating in the social, recreational, sporting, religious, and cultural life</w:t>
      </w:r>
      <w:r w:rsidR="0093294D">
        <w:t xml:space="preserve"> of their communities</w:t>
      </w:r>
      <w:r w:rsidR="0049037F">
        <w:t xml:space="preserve">. It also prevents everyday social interactions and social connections, a topic we will focus on in the next part of this submission. </w:t>
      </w:r>
      <w:r w:rsidR="00513C6B">
        <w:t>Problems of inaccessibility particularly impact South Australians living with disability</w:t>
      </w:r>
      <w:r w:rsidR="0081299C">
        <w:t>, but it is important to highlight that ensuring ease of access in all its forms benefits everyone</w:t>
      </w:r>
      <w:r w:rsidR="00492314">
        <w:t>. Again</w:t>
      </w:r>
      <w:r w:rsidR="000D47BF">
        <w:t>,</w:t>
      </w:r>
      <w:r w:rsidR="00492314">
        <w:t xml:space="preserve"> we emphasise the </w:t>
      </w:r>
      <w:r w:rsidR="00113813">
        <w:t>critical importance of the GARP re</w:t>
      </w:r>
      <w:r w:rsidR="00377324">
        <w:t>cognising and responding to the needs of our rapidly ageing population</w:t>
      </w:r>
      <w:r w:rsidR="00CB5858">
        <w:t xml:space="preserve"> now or face significantly higher costs in the future.</w:t>
      </w:r>
    </w:p>
    <w:p w14:paraId="017F1C76" w14:textId="489A4FA0" w:rsidR="00BB011D" w:rsidRDefault="008C1F6E" w:rsidP="005E4064">
      <w:pPr>
        <w:spacing w:after="160"/>
      </w:pPr>
      <w:r>
        <w:t>The</w:t>
      </w:r>
      <w:r w:rsidR="000D47BF">
        <w:t>refore, the</w:t>
      </w:r>
      <w:r>
        <w:t xml:space="preserve"> </w:t>
      </w:r>
      <w:r w:rsidR="009A748B">
        <w:t>third</w:t>
      </w:r>
      <w:r>
        <w:t xml:space="preserve"> critical element that we believe the GARP must address </w:t>
      </w:r>
      <w:r w:rsidR="004D06B1">
        <w:t>is the accessibility of communities including, but not limited to, the built and natural environment</w:t>
      </w:r>
      <w:r w:rsidR="002A46B1">
        <w:t>s</w:t>
      </w:r>
      <w:r w:rsidR="004D06B1">
        <w:t xml:space="preserve"> and social and community infrastructure</w:t>
      </w:r>
      <w:r w:rsidR="00527189">
        <w:t xml:space="preserve"> including public spaces</w:t>
      </w:r>
      <w:r w:rsidR="00AA1769">
        <w:t xml:space="preserve"> and parks</w:t>
      </w:r>
      <w:r w:rsidR="00527189">
        <w:t>, transport</w:t>
      </w:r>
      <w:r w:rsidR="00AA1769">
        <w:t xml:space="preserve">, shopping and service precincts, </w:t>
      </w:r>
      <w:r w:rsidR="00BD77EB">
        <w:t>and workplaces, to name but a few examples</w:t>
      </w:r>
      <w:r w:rsidR="004D06B1">
        <w:t xml:space="preserve">. </w:t>
      </w:r>
      <w:r w:rsidR="65C3A146">
        <w:t xml:space="preserve">While the Discussion Paper does pleasingly state </w:t>
      </w:r>
      <w:r w:rsidR="001D0D40">
        <w:t>‘</w:t>
      </w:r>
      <w:r w:rsidR="65C3A146">
        <w:t>every person, no matter where they live, should have access to transport, employment, healthcare, shops and services</w:t>
      </w:r>
      <w:r w:rsidR="001D0D40">
        <w:t>’</w:t>
      </w:r>
      <w:r w:rsidRPr="675D3168">
        <w:rPr>
          <w:rStyle w:val="FootnoteReference"/>
        </w:rPr>
        <w:footnoteReference w:id="17"/>
      </w:r>
      <w:r w:rsidR="7006FF00">
        <w:t xml:space="preserve">, more </w:t>
      </w:r>
      <w:r w:rsidR="00E20BD4">
        <w:t xml:space="preserve">specific </w:t>
      </w:r>
      <w:r w:rsidR="00A0391E">
        <w:t>detail</w:t>
      </w:r>
      <w:r w:rsidR="7006FF00">
        <w:t xml:space="preserve"> is required regarding how these aspirations will be achieved for </w:t>
      </w:r>
      <w:r w:rsidR="0074689B">
        <w:t>everyone’s</w:t>
      </w:r>
      <w:r w:rsidR="00A0391E">
        <w:t xml:space="preserve"> benefit</w:t>
      </w:r>
      <w:r w:rsidR="00854D03">
        <w:t xml:space="preserve">, including </w:t>
      </w:r>
      <w:r w:rsidR="1BFC5328">
        <w:t>people living with disability</w:t>
      </w:r>
      <w:r w:rsidR="00854D03">
        <w:t xml:space="preserve">, older people, people with short-term injuries, parents with prams, </w:t>
      </w:r>
      <w:r w:rsidR="00BA1D9F">
        <w:t xml:space="preserve">delivery workers, </w:t>
      </w:r>
      <w:r w:rsidR="00854D03">
        <w:t>and others</w:t>
      </w:r>
      <w:r w:rsidR="0074689B">
        <w:t xml:space="preserve"> with mobility needs</w:t>
      </w:r>
      <w:r w:rsidR="1BFC5328">
        <w:t xml:space="preserve">. </w:t>
      </w:r>
      <w:r w:rsidR="12292B94">
        <w:t xml:space="preserve">If </w:t>
      </w:r>
      <w:r w:rsidR="000156D9">
        <w:t>the existing levels of in</w:t>
      </w:r>
      <w:r w:rsidR="12292B94">
        <w:t xml:space="preserve">accessibility </w:t>
      </w:r>
      <w:r w:rsidR="00B81DE1">
        <w:t>are</w:t>
      </w:r>
      <w:r w:rsidR="12292B94">
        <w:t xml:space="preserve"> not</w:t>
      </w:r>
      <w:r w:rsidR="53F3ADDE">
        <w:t xml:space="preserve"> </w:t>
      </w:r>
      <w:r w:rsidR="12292B94">
        <w:t xml:space="preserve">adequately addressed, the </w:t>
      </w:r>
      <w:r w:rsidR="00B81DE1">
        <w:t>GARP</w:t>
      </w:r>
      <w:r w:rsidR="23331251">
        <w:t xml:space="preserve"> will not realise the proposed outcome of making </w:t>
      </w:r>
      <w:r w:rsidR="00F300EF">
        <w:t>the Greater Adelaide region</w:t>
      </w:r>
      <w:r w:rsidR="23331251">
        <w:t xml:space="preserve"> a more equitable and socially</w:t>
      </w:r>
      <w:r w:rsidR="0D6EE2CE">
        <w:t xml:space="preserve"> cohesive place</w:t>
      </w:r>
      <w:r w:rsidR="00E40B00">
        <w:t xml:space="preserve"> and </w:t>
      </w:r>
      <w:r w:rsidR="27D95321">
        <w:t xml:space="preserve">the </w:t>
      </w:r>
      <w:proofErr w:type="spellStart"/>
      <w:r w:rsidR="27D95321">
        <w:t>livability</w:t>
      </w:r>
      <w:proofErr w:type="spellEnd"/>
      <w:r w:rsidR="27D95321">
        <w:t xml:space="preserve"> of communities </w:t>
      </w:r>
      <w:r w:rsidR="3E66A5F5">
        <w:t>will remain unacceptably poor</w:t>
      </w:r>
      <w:r w:rsidR="00BC7E44">
        <w:t xml:space="preserve"> especially</w:t>
      </w:r>
      <w:r w:rsidR="3E66A5F5">
        <w:t xml:space="preserve"> </w:t>
      </w:r>
      <w:r w:rsidR="27D95321">
        <w:t xml:space="preserve">for </w:t>
      </w:r>
      <w:r w:rsidR="00BA1D9F">
        <w:t>those</w:t>
      </w:r>
      <w:r w:rsidR="27D95321">
        <w:t xml:space="preserve"> living with disability</w:t>
      </w:r>
      <w:r w:rsidR="0D6EE2CE">
        <w:t xml:space="preserve">. </w:t>
      </w:r>
    </w:p>
    <w:p w14:paraId="6C52D83F" w14:textId="3E42B7F7" w:rsidR="008C1F6E" w:rsidRDefault="00661585" w:rsidP="005E4064">
      <w:pPr>
        <w:spacing w:after="160"/>
      </w:pPr>
      <w:r>
        <w:t xml:space="preserve">As </w:t>
      </w:r>
      <w:r w:rsidR="009D75FE">
        <w:t>mentioned</w:t>
      </w:r>
      <w:r>
        <w:t xml:space="preserve"> above</w:t>
      </w:r>
      <w:r w:rsidR="00C26C8C">
        <w:t xml:space="preserve">, the GARP needs to align with </w:t>
      </w:r>
      <w:r w:rsidR="00C26C8C">
        <w:rPr>
          <w:i/>
          <w:iCs/>
        </w:rPr>
        <w:t>Australia’s Disability Strategy 2021-2031</w:t>
      </w:r>
      <w:r w:rsidR="00C26C8C">
        <w:t xml:space="preserve"> to ensure</w:t>
      </w:r>
      <w:r w:rsidR="001F58D3">
        <w:t xml:space="preserve"> the</w:t>
      </w:r>
      <w:r w:rsidR="00B44698">
        <w:t>re is the</w:t>
      </w:r>
      <w:r w:rsidR="00C26C8C">
        <w:t xml:space="preserve"> </w:t>
      </w:r>
      <w:r w:rsidR="001F58D3">
        <w:t xml:space="preserve">policy and program consistency that will maximise </w:t>
      </w:r>
      <w:r w:rsidR="009D75FE">
        <w:t xml:space="preserve">outcomes. </w:t>
      </w:r>
      <w:r w:rsidR="0D6EE2CE">
        <w:t xml:space="preserve">Unless accessibility is given greater priority in the GARP, </w:t>
      </w:r>
      <w:r w:rsidR="009D75FE">
        <w:t>th</w:t>
      </w:r>
      <w:r w:rsidR="611D6076">
        <w:t>e South Australian Government</w:t>
      </w:r>
      <w:r w:rsidR="009D75FE">
        <w:t>’</w:t>
      </w:r>
      <w:r w:rsidR="611D6076">
        <w:t xml:space="preserve">s </w:t>
      </w:r>
      <w:r w:rsidR="009D75FE">
        <w:t>commitments</w:t>
      </w:r>
      <w:r w:rsidR="00B44698">
        <w:t xml:space="preserve"> to improving accessibility</w:t>
      </w:r>
      <w:r w:rsidR="009D75FE">
        <w:t xml:space="preserve"> in the Strategy will not be realised</w:t>
      </w:r>
      <w:r w:rsidR="611D6076">
        <w:t xml:space="preserve">. </w:t>
      </w:r>
      <w:r w:rsidR="00B44698">
        <w:t>A</w:t>
      </w:r>
      <w:r w:rsidR="5ECDF9CB">
        <w:t xml:space="preserve">ll tiers of </w:t>
      </w:r>
      <w:r w:rsidR="5ECDF9CB">
        <w:lastRenderedPageBreak/>
        <w:t xml:space="preserve">government </w:t>
      </w:r>
      <w:r w:rsidR="000B0272">
        <w:t xml:space="preserve">in Australia </w:t>
      </w:r>
      <w:r w:rsidR="5ECDF9CB">
        <w:t xml:space="preserve">have committed to making accessible </w:t>
      </w:r>
      <w:r w:rsidR="00F859E1">
        <w:t>communities</w:t>
      </w:r>
      <w:r w:rsidR="5ECDF9CB">
        <w:t xml:space="preserve"> a policy priority </w:t>
      </w:r>
      <w:proofErr w:type="gramStart"/>
      <w:r w:rsidR="5ECDF9CB">
        <w:t>in order to</w:t>
      </w:r>
      <w:proofErr w:type="gramEnd"/>
      <w:r w:rsidR="5ECDF9CB">
        <w:t xml:space="preserve"> deliver the important Strategy outcome: ‘People with disability live in inclusive, </w:t>
      </w:r>
      <w:r w:rsidR="5ECDF9CB" w:rsidRPr="008E5C22">
        <w:rPr>
          <w:i/>
          <w:iCs/>
        </w:rPr>
        <w:t>accessible</w:t>
      </w:r>
      <w:r w:rsidR="5ECDF9CB" w:rsidRPr="008E5C22">
        <w:t xml:space="preserve"> and well-designed homes and </w:t>
      </w:r>
      <w:r w:rsidR="5ECDF9CB" w:rsidRPr="008E5C22">
        <w:rPr>
          <w:i/>
          <w:iCs/>
        </w:rPr>
        <w:t>communities</w:t>
      </w:r>
      <w:r w:rsidR="5ECDF9CB" w:rsidRPr="008E5C22">
        <w:t>’</w:t>
      </w:r>
      <w:r w:rsidR="00F859E1">
        <w:t xml:space="preserve"> [emphasis added</w:t>
      </w:r>
      <w:r w:rsidR="008E5C22">
        <w:t>].</w:t>
      </w:r>
      <w:r w:rsidR="7039B62F">
        <w:t xml:space="preserve"> </w:t>
      </w:r>
      <w:r w:rsidR="001C2344">
        <w:t>Similarly, a</w:t>
      </w:r>
      <w:r w:rsidR="7039B62F">
        <w:t>ccording to the South Australian Planning and Design Code</w:t>
      </w:r>
      <w:r w:rsidR="008C1F6E" w:rsidRPr="5F5A6EB0">
        <w:rPr>
          <w:rStyle w:val="FootnoteReference"/>
        </w:rPr>
        <w:footnoteReference w:id="18"/>
      </w:r>
      <w:r w:rsidR="7039B62F">
        <w:t>, Master Planned Neighbourhood Zone</w:t>
      </w:r>
      <w:r w:rsidR="00ED70E2">
        <w:t>s also have</w:t>
      </w:r>
      <w:r w:rsidR="7039B62F">
        <w:t xml:space="preserve"> </w:t>
      </w:r>
      <w:r w:rsidR="00ED70E2">
        <w:t>the</w:t>
      </w:r>
      <w:r w:rsidR="7039B62F">
        <w:t xml:space="preserve"> ‘desired outcome’ of creating: </w:t>
      </w:r>
      <w:r w:rsidR="00ED70E2">
        <w:t>‘</w:t>
      </w:r>
      <w:r w:rsidR="7039B62F">
        <w:t xml:space="preserve">A new or expanding community with a diverse range of housing that supports a range of needs and lifestyles located within </w:t>
      </w:r>
      <w:r w:rsidR="7039B62F" w:rsidRPr="006C05B5">
        <w:rPr>
          <w:i/>
          <w:iCs/>
        </w:rPr>
        <w:t>easy reach</w:t>
      </w:r>
      <w:r w:rsidR="7039B62F">
        <w:t xml:space="preserve"> of a diversity of services, facilities and open space</w:t>
      </w:r>
      <w:r w:rsidR="00ED70E2">
        <w:t>’</w:t>
      </w:r>
      <w:r w:rsidR="006C05B5">
        <w:t xml:space="preserve"> [emphasis added].</w:t>
      </w:r>
      <w:r w:rsidR="7039B62F">
        <w:t xml:space="preserve"> </w:t>
      </w:r>
      <w:r w:rsidR="75C49E7C">
        <w:t xml:space="preserve">It is essential that the GARP explicitly aligns with these obligations. </w:t>
      </w:r>
    </w:p>
    <w:p w14:paraId="7CDB2A79" w14:textId="77777777" w:rsidR="0011145C" w:rsidRDefault="0011145C" w:rsidP="005E4064">
      <w:pPr>
        <w:spacing w:after="160"/>
      </w:pPr>
    </w:p>
    <w:p w14:paraId="673A744B" w14:textId="7ED63168" w:rsidR="00F2032C" w:rsidRDefault="0011145C" w:rsidP="005E4064">
      <w:pPr>
        <w:pStyle w:val="Heading2"/>
        <w:spacing w:after="160" w:line="360" w:lineRule="auto"/>
      </w:pPr>
      <w:bookmarkStart w:id="34" w:name="_Toc150180128"/>
      <w:r>
        <w:t>Planning for accessible communities</w:t>
      </w:r>
      <w:bookmarkEnd w:id="34"/>
    </w:p>
    <w:p w14:paraId="3169F54A" w14:textId="05DB82D7" w:rsidR="00077CDB" w:rsidRDefault="009A748B" w:rsidP="005E4064">
      <w:pPr>
        <w:spacing w:after="160"/>
      </w:pPr>
      <w:r>
        <w:t>Making</w:t>
      </w:r>
      <w:r w:rsidR="002725EF">
        <w:t xml:space="preserve"> accessibility a top priority </w:t>
      </w:r>
      <w:r>
        <w:t>for</w:t>
      </w:r>
      <w:r w:rsidR="002725EF">
        <w:t xml:space="preserve"> all new </w:t>
      </w:r>
      <w:r w:rsidR="00E646A2">
        <w:t xml:space="preserve">developments, </w:t>
      </w:r>
      <w:r w:rsidR="002725EF">
        <w:t>builds</w:t>
      </w:r>
      <w:r w:rsidR="009F3753">
        <w:t>, renovations, upgrades, and replacements i</w:t>
      </w:r>
      <w:r w:rsidR="00DD1E39">
        <w:t>s</w:t>
      </w:r>
      <w:r w:rsidR="009F3753">
        <w:t xml:space="preserve"> the most </w:t>
      </w:r>
      <w:r w:rsidR="005359E9">
        <w:t xml:space="preserve">effective and </w:t>
      </w:r>
      <w:r w:rsidR="009F3753">
        <w:t xml:space="preserve">efficient approach to </w:t>
      </w:r>
      <w:r w:rsidR="00E646A2">
        <w:t>creating</w:t>
      </w:r>
      <w:r w:rsidR="00DD1E39">
        <w:t xml:space="preserve"> accessible communities. </w:t>
      </w:r>
      <w:r w:rsidR="00AB058A">
        <w:t>It avoids expensive repairs and retrofits</w:t>
      </w:r>
      <w:r w:rsidR="005359E9">
        <w:t xml:space="preserve"> later</w:t>
      </w:r>
      <w:r w:rsidR="00AB058A">
        <w:t xml:space="preserve">, as well as </w:t>
      </w:r>
      <w:r w:rsidR="008D336D">
        <w:t>starting to reduce the</w:t>
      </w:r>
      <w:r w:rsidR="00AB058A">
        <w:t xml:space="preserve"> </w:t>
      </w:r>
      <w:r>
        <w:t xml:space="preserve">cost and productivity </w:t>
      </w:r>
      <w:r w:rsidR="00AB058A">
        <w:t xml:space="preserve">burdens </w:t>
      </w:r>
      <w:r w:rsidR="008528A4">
        <w:t xml:space="preserve">encountered everyday as people are forced to navigate accessibility barriers. </w:t>
      </w:r>
      <w:r w:rsidR="00456228">
        <w:t xml:space="preserve">Planning is critical to this proactive approach. </w:t>
      </w:r>
      <w:r w:rsidR="00804F61">
        <w:t>As the Discussion Paper notes</w:t>
      </w:r>
      <w:r w:rsidR="003400C1">
        <w:t xml:space="preserve">, the South Australia’s planning system has an important role to play in </w:t>
      </w:r>
      <w:r w:rsidR="003F1993">
        <w:t xml:space="preserve">tackling many </w:t>
      </w:r>
      <w:r>
        <w:t xml:space="preserve">pressing </w:t>
      </w:r>
      <w:r w:rsidR="003F1993">
        <w:t xml:space="preserve">issues and we believe accessibility should be </w:t>
      </w:r>
      <w:r w:rsidR="00CD02FE">
        <w:t>emphasised as a critical aspect of this.</w:t>
      </w:r>
      <w:r w:rsidR="00CD02FE">
        <w:rPr>
          <w:rStyle w:val="FootnoteReference"/>
        </w:rPr>
        <w:footnoteReference w:id="19"/>
      </w:r>
    </w:p>
    <w:p w14:paraId="1130CE7C" w14:textId="116678D0" w:rsidR="0011145C" w:rsidRPr="00F2032C" w:rsidRDefault="0C19CDEC" w:rsidP="005E4064">
      <w:pPr>
        <w:spacing w:after="160"/>
        <w:rPr>
          <w:rFonts w:ascii="Calibri" w:eastAsia="Calibri" w:hAnsi="Calibri" w:cs="Calibri"/>
          <w:color w:val="000000" w:themeColor="text1"/>
        </w:rPr>
      </w:pPr>
      <w:r>
        <w:t>In our recent consultations with South Australian</w:t>
      </w:r>
      <w:r w:rsidR="008C18A5">
        <w:t>s</w:t>
      </w:r>
      <w:r>
        <w:t xml:space="preserve"> living with disability </w:t>
      </w:r>
      <w:r w:rsidR="00F63C8A">
        <w:t>regarding</w:t>
      </w:r>
      <w:r>
        <w:t xml:space="preserve"> the development of the National Housing and Homelessness Plan, p</w:t>
      </w:r>
      <w:r w:rsidRPr="5F5A6EB0">
        <w:rPr>
          <w:rFonts w:ascii="Calibri" w:eastAsia="Calibri" w:hAnsi="Calibri" w:cs="Calibri"/>
          <w:color w:val="000000" w:themeColor="text1"/>
        </w:rPr>
        <w:t xml:space="preserve">articipants </w:t>
      </w:r>
      <w:r w:rsidR="00132AF0">
        <w:rPr>
          <w:rFonts w:ascii="Calibri" w:eastAsia="Calibri" w:hAnsi="Calibri" w:cs="Calibri"/>
          <w:color w:val="000000" w:themeColor="text1"/>
        </w:rPr>
        <w:t>told us</w:t>
      </w:r>
      <w:r w:rsidRPr="5F5A6EB0">
        <w:rPr>
          <w:rFonts w:ascii="Calibri" w:eastAsia="Calibri" w:hAnsi="Calibri" w:cs="Calibri"/>
          <w:color w:val="000000" w:themeColor="text1"/>
        </w:rPr>
        <w:t xml:space="preserve"> more thought needs to be given to the location of housing so </w:t>
      </w:r>
      <w:r w:rsidR="008A4698">
        <w:rPr>
          <w:rFonts w:ascii="Calibri" w:eastAsia="Calibri" w:hAnsi="Calibri" w:cs="Calibri"/>
          <w:color w:val="000000" w:themeColor="text1"/>
        </w:rPr>
        <w:t xml:space="preserve">that </w:t>
      </w:r>
      <w:r w:rsidRPr="5F5A6EB0">
        <w:rPr>
          <w:rFonts w:ascii="Calibri" w:eastAsia="Calibri" w:hAnsi="Calibri" w:cs="Calibri"/>
          <w:color w:val="000000" w:themeColor="text1"/>
        </w:rPr>
        <w:t>people</w:t>
      </w:r>
      <w:r w:rsidR="008A4698">
        <w:rPr>
          <w:rFonts w:ascii="Calibri" w:eastAsia="Calibri" w:hAnsi="Calibri" w:cs="Calibri"/>
          <w:color w:val="000000" w:themeColor="text1"/>
        </w:rPr>
        <w:t xml:space="preserve"> can</w:t>
      </w:r>
      <w:r w:rsidRPr="5F5A6EB0">
        <w:rPr>
          <w:rFonts w:ascii="Calibri" w:eastAsia="Calibri" w:hAnsi="Calibri" w:cs="Calibri"/>
          <w:color w:val="000000" w:themeColor="text1"/>
        </w:rPr>
        <w:t xml:space="preserve"> live near essential </w:t>
      </w:r>
      <w:r w:rsidR="00255B03">
        <w:rPr>
          <w:rFonts w:ascii="Calibri" w:eastAsia="Calibri" w:hAnsi="Calibri" w:cs="Calibri"/>
          <w:color w:val="000000" w:themeColor="text1"/>
        </w:rPr>
        <w:t xml:space="preserve">community </w:t>
      </w:r>
      <w:r w:rsidRPr="5F5A6EB0">
        <w:rPr>
          <w:rFonts w:ascii="Calibri" w:eastAsia="Calibri" w:hAnsi="Calibri" w:cs="Calibri"/>
          <w:color w:val="000000" w:themeColor="text1"/>
        </w:rPr>
        <w:t>infrastructure and services, such as transport, healthcare, and shops. Participants noted accessible housing and SDA are increasingly located further away from these basic services, as well as community activities and events resulting in greater exclusion</w:t>
      </w:r>
      <w:r w:rsidR="008A4698">
        <w:rPr>
          <w:rFonts w:ascii="Calibri" w:eastAsia="Calibri" w:hAnsi="Calibri" w:cs="Calibri"/>
          <w:color w:val="000000" w:themeColor="text1"/>
        </w:rPr>
        <w:t xml:space="preserve"> and isolation</w:t>
      </w:r>
      <w:r w:rsidRPr="5F5A6EB0">
        <w:rPr>
          <w:rFonts w:ascii="Calibri" w:eastAsia="Calibri" w:hAnsi="Calibri" w:cs="Calibri"/>
          <w:color w:val="000000" w:themeColor="text1"/>
        </w:rPr>
        <w:t xml:space="preserve"> of people living with disability</w:t>
      </w:r>
      <w:r w:rsidR="3CC56AF8" w:rsidRPr="675D3168">
        <w:rPr>
          <w:rFonts w:ascii="Calibri" w:eastAsia="Calibri" w:hAnsi="Calibri" w:cs="Calibri"/>
          <w:color w:val="000000" w:themeColor="text1"/>
        </w:rPr>
        <w:t xml:space="preserve">. </w:t>
      </w:r>
      <w:r w:rsidR="00C608CC">
        <w:rPr>
          <w:rFonts w:ascii="Calibri" w:eastAsia="Calibri" w:hAnsi="Calibri" w:cs="Calibri"/>
          <w:color w:val="000000" w:themeColor="text1"/>
        </w:rPr>
        <w:t>T</w:t>
      </w:r>
      <w:r w:rsidR="1D80D165" w:rsidRPr="675D3168">
        <w:rPr>
          <w:rFonts w:ascii="Calibri" w:eastAsia="Calibri" w:hAnsi="Calibri" w:cs="Calibri"/>
          <w:color w:val="000000" w:themeColor="text1"/>
        </w:rPr>
        <w:t>he Discussion Paper</w:t>
      </w:r>
      <w:r w:rsidR="72C37D30" w:rsidRPr="675D3168">
        <w:rPr>
          <w:rFonts w:ascii="Calibri" w:eastAsia="Calibri" w:hAnsi="Calibri" w:cs="Calibri"/>
          <w:color w:val="000000" w:themeColor="text1"/>
        </w:rPr>
        <w:t>,</w:t>
      </w:r>
      <w:r w:rsidR="1D80D165" w:rsidRPr="675D3168">
        <w:rPr>
          <w:rFonts w:ascii="Calibri" w:eastAsia="Calibri" w:hAnsi="Calibri" w:cs="Calibri"/>
          <w:color w:val="000000" w:themeColor="text1"/>
        </w:rPr>
        <w:t xml:space="preserve"> d</w:t>
      </w:r>
      <w:r w:rsidR="32E3BE32" w:rsidRPr="675D3168">
        <w:rPr>
          <w:rFonts w:ascii="Calibri" w:eastAsia="Calibri" w:hAnsi="Calibri" w:cs="Calibri"/>
          <w:color w:val="000000" w:themeColor="text1"/>
        </w:rPr>
        <w:t>rawing on</w:t>
      </w:r>
      <w:r w:rsidR="1D80D165" w:rsidRPr="675D3168">
        <w:rPr>
          <w:rFonts w:ascii="Calibri" w:eastAsia="Calibri" w:hAnsi="Calibri" w:cs="Calibri"/>
          <w:color w:val="000000" w:themeColor="text1"/>
        </w:rPr>
        <w:t xml:space="preserve"> </w:t>
      </w:r>
      <w:r w:rsidR="00562312">
        <w:rPr>
          <w:rFonts w:ascii="Calibri" w:eastAsia="Calibri" w:hAnsi="Calibri" w:cs="Calibri"/>
          <w:color w:val="000000" w:themeColor="text1"/>
        </w:rPr>
        <w:t>State Planning Policies</w:t>
      </w:r>
      <w:r w:rsidR="00520DA0">
        <w:rPr>
          <w:rFonts w:ascii="Calibri" w:eastAsia="Calibri" w:hAnsi="Calibri" w:cs="Calibri"/>
          <w:color w:val="000000" w:themeColor="text1"/>
        </w:rPr>
        <w:t xml:space="preserve"> (SPP</w:t>
      </w:r>
      <w:r w:rsidR="00FB5413">
        <w:rPr>
          <w:rFonts w:ascii="Calibri" w:eastAsia="Calibri" w:hAnsi="Calibri" w:cs="Calibri"/>
          <w:color w:val="000000" w:themeColor="text1"/>
        </w:rPr>
        <w:t>s</w:t>
      </w:r>
      <w:r w:rsidR="00520DA0">
        <w:rPr>
          <w:rFonts w:ascii="Calibri" w:eastAsia="Calibri" w:hAnsi="Calibri" w:cs="Calibri"/>
          <w:color w:val="000000" w:themeColor="text1"/>
        </w:rPr>
        <w:t>)</w:t>
      </w:r>
      <w:r w:rsidR="3CC56AF8" w:rsidRPr="675D3168">
        <w:rPr>
          <w:rFonts w:ascii="Calibri" w:eastAsia="Calibri" w:hAnsi="Calibri" w:cs="Calibri"/>
          <w:color w:val="000000" w:themeColor="text1"/>
        </w:rPr>
        <w:t xml:space="preserve">, </w:t>
      </w:r>
      <w:r w:rsidR="62D6E802" w:rsidRPr="675D3168">
        <w:rPr>
          <w:rFonts w:ascii="Calibri" w:eastAsia="Calibri" w:hAnsi="Calibri" w:cs="Calibri"/>
          <w:color w:val="000000" w:themeColor="text1"/>
        </w:rPr>
        <w:t>suggests</w:t>
      </w:r>
      <w:r w:rsidR="480D31B8" w:rsidRPr="675D3168">
        <w:rPr>
          <w:rFonts w:ascii="Calibri" w:eastAsia="Calibri" w:hAnsi="Calibri" w:cs="Calibri"/>
          <w:color w:val="000000" w:themeColor="text1"/>
        </w:rPr>
        <w:t xml:space="preserve"> concentrating growth </w:t>
      </w:r>
      <w:r w:rsidR="4E73C81C" w:rsidRPr="675D3168">
        <w:rPr>
          <w:rFonts w:ascii="Calibri" w:eastAsia="Calibri" w:hAnsi="Calibri" w:cs="Calibri"/>
          <w:color w:val="000000" w:themeColor="text1"/>
        </w:rPr>
        <w:t xml:space="preserve">near existing </w:t>
      </w:r>
      <w:r w:rsidR="00EA3C1B">
        <w:rPr>
          <w:rFonts w:ascii="Calibri" w:eastAsia="Calibri" w:hAnsi="Calibri" w:cs="Calibri"/>
          <w:color w:val="000000" w:themeColor="text1"/>
        </w:rPr>
        <w:t>social</w:t>
      </w:r>
      <w:r w:rsidR="4E73C81C" w:rsidRPr="675D3168">
        <w:rPr>
          <w:rFonts w:ascii="Calibri" w:eastAsia="Calibri" w:hAnsi="Calibri" w:cs="Calibri"/>
          <w:color w:val="000000" w:themeColor="text1"/>
        </w:rPr>
        <w:t xml:space="preserve"> infrastructure</w:t>
      </w:r>
      <w:r w:rsidR="00EA3C1B">
        <w:rPr>
          <w:rFonts w:ascii="Calibri" w:eastAsia="Calibri" w:hAnsi="Calibri" w:cs="Calibri"/>
          <w:color w:val="000000" w:themeColor="text1"/>
        </w:rPr>
        <w:t>. While we support this objective</w:t>
      </w:r>
      <w:r w:rsidR="00520DA0">
        <w:rPr>
          <w:rFonts w:ascii="Calibri" w:eastAsia="Calibri" w:hAnsi="Calibri" w:cs="Calibri"/>
          <w:color w:val="000000" w:themeColor="text1"/>
        </w:rPr>
        <w:t>,</w:t>
      </w:r>
      <w:r w:rsidR="003C7333">
        <w:rPr>
          <w:rFonts w:ascii="Calibri" w:eastAsia="Calibri" w:hAnsi="Calibri" w:cs="Calibri"/>
          <w:color w:val="000000" w:themeColor="text1"/>
        </w:rPr>
        <w:t xml:space="preserve"> </w:t>
      </w:r>
      <w:r w:rsidR="45CCF523" w:rsidRPr="675D3168">
        <w:rPr>
          <w:rFonts w:ascii="Calibri" w:eastAsia="Calibri" w:hAnsi="Calibri" w:cs="Calibri"/>
          <w:color w:val="000000" w:themeColor="text1"/>
        </w:rPr>
        <w:t xml:space="preserve">we are concerned </w:t>
      </w:r>
      <w:r w:rsidR="009A748B">
        <w:rPr>
          <w:rFonts w:ascii="Calibri" w:eastAsia="Calibri" w:hAnsi="Calibri" w:cs="Calibri"/>
          <w:color w:val="000000" w:themeColor="text1"/>
        </w:rPr>
        <w:t>about</w:t>
      </w:r>
      <w:r w:rsidR="45CCF523" w:rsidRPr="675D3168">
        <w:rPr>
          <w:rFonts w:ascii="Calibri" w:eastAsia="Calibri" w:hAnsi="Calibri" w:cs="Calibri"/>
          <w:color w:val="000000" w:themeColor="text1"/>
        </w:rPr>
        <w:t xml:space="preserve"> how the SPP</w:t>
      </w:r>
      <w:r w:rsidR="00FB5413">
        <w:rPr>
          <w:rFonts w:ascii="Calibri" w:eastAsia="Calibri" w:hAnsi="Calibri" w:cs="Calibri"/>
          <w:color w:val="000000" w:themeColor="text1"/>
        </w:rPr>
        <w:t>s</w:t>
      </w:r>
      <w:r w:rsidR="45CCF523" w:rsidRPr="675D3168">
        <w:rPr>
          <w:rFonts w:ascii="Calibri" w:eastAsia="Calibri" w:hAnsi="Calibri" w:cs="Calibri"/>
          <w:color w:val="000000" w:themeColor="text1"/>
        </w:rPr>
        <w:t xml:space="preserve"> </w:t>
      </w:r>
      <w:r w:rsidR="009A748B">
        <w:rPr>
          <w:rFonts w:ascii="Calibri" w:eastAsia="Calibri" w:hAnsi="Calibri" w:cs="Calibri"/>
          <w:color w:val="000000" w:themeColor="text1"/>
        </w:rPr>
        <w:t xml:space="preserve">seem </w:t>
      </w:r>
      <w:r w:rsidR="009A748B">
        <w:rPr>
          <w:rFonts w:ascii="Calibri" w:eastAsia="Calibri" w:hAnsi="Calibri" w:cs="Calibri"/>
          <w:color w:val="000000" w:themeColor="text1"/>
        </w:rPr>
        <w:lastRenderedPageBreak/>
        <w:t xml:space="preserve">to </w:t>
      </w:r>
      <w:r w:rsidR="45CCF523" w:rsidRPr="675D3168">
        <w:rPr>
          <w:rFonts w:ascii="Calibri" w:eastAsia="Calibri" w:hAnsi="Calibri" w:cs="Calibri"/>
          <w:color w:val="000000" w:themeColor="text1"/>
        </w:rPr>
        <w:t xml:space="preserve">trade off </w:t>
      </w:r>
      <w:r w:rsidR="009A748B" w:rsidRPr="675D3168">
        <w:rPr>
          <w:rFonts w:ascii="Calibri" w:eastAsia="Calibri" w:hAnsi="Calibri" w:cs="Calibri"/>
          <w:color w:val="000000" w:themeColor="text1"/>
        </w:rPr>
        <w:t xml:space="preserve">maximising positive social outcomes </w:t>
      </w:r>
      <w:r w:rsidR="009A748B">
        <w:rPr>
          <w:rFonts w:ascii="Calibri" w:eastAsia="Calibri" w:hAnsi="Calibri" w:cs="Calibri"/>
          <w:color w:val="000000" w:themeColor="text1"/>
        </w:rPr>
        <w:t xml:space="preserve">with an emphasis on </w:t>
      </w:r>
      <w:r w:rsidR="28D83A54" w:rsidRPr="675D3168">
        <w:rPr>
          <w:rFonts w:ascii="Calibri" w:eastAsia="Calibri" w:hAnsi="Calibri" w:cs="Calibri"/>
          <w:color w:val="000000" w:themeColor="text1"/>
        </w:rPr>
        <w:t>servicing communit</w:t>
      </w:r>
      <w:r w:rsidR="009A748B">
        <w:rPr>
          <w:rFonts w:ascii="Calibri" w:eastAsia="Calibri" w:hAnsi="Calibri" w:cs="Calibri"/>
          <w:color w:val="000000" w:themeColor="text1"/>
        </w:rPr>
        <w:t>ies</w:t>
      </w:r>
      <w:r w:rsidR="0D18AD4E" w:rsidRPr="675D3168">
        <w:rPr>
          <w:rFonts w:ascii="Calibri" w:eastAsia="Calibri" w:hAnsi="Calibri" w:cs="Calibri"/>
          <w:color w:val="000000" w:themeColor="text1"/>
        </w:rPr>
        <w:t xml:space="preserve"> </w:t>
      </w:r>
      <w:r w:rsidR="009A748B">
        <w:rPr>
          <w:rFonts w:ascii="Calibri" w:eastAsia="Calibri" w:hAnsi="Calibri" w:cs="Calibri"/>
          <w:color w:val="000000" w:themeColor="text1"/>
        </w:rPr>
        <w:t>through</w:t>
      </w:r>
      <w:r w:rsidR="0D18AD4E" w:rsidRPr="675D3168">
        <w:rPr>
          <w:rFonts w:ascii="Calibri" w:eastAsia="Calibri" w:hAnsi="Calibri" w:cs="Calibri"/>
          <w:color w:val="000000" w:themeColor="text1"/>
        </w:rPr>
        <w:t xml:space="preserve"> </w:t>
      </w:r>
      <w:r w:rsidR="00232098">
        <w:rPr>
          <w:rFonts w:ascii="Calibri" w:eastAsia="Calibri" w:hAnsi="Calibri" w:cs="Calibri"/>
          <w:color w:val="000000" w:themeColor="text1"/>
        </w:rPr>
        <w:t>‘</w:t>
      </w:r>
      <w:r w:rsidR="0D18AD4E" w:rsidRPr="675D3168">
        <w:rPr>
          <w:rFonts w:ascii="Calibri" w:eastAsia="Calibri" w:hAnsi="Calibri" w:cs="Calibri"/>
          <w:color w:val="000000" w:themeColor="text1"/>
        </w:rPr>
        <w:t>cost effective infrastructure</w:t>
      </w:r>
      <w:r w:rsidR="00232098">
        <w:rPr>
          <w:rFonts w:ascii="Calibri" w:eastAsia="Calibri" w:hAnsi="Calibri" w:cs="Calibri"/>
          <w:color w:val="000000" w:themeColor="text1"/>
        </w:rPr>
        <w:t>’</w:t>
      </w:r>
      <w:r w:rsidR="4CA25431" w:rsidRPr="675D3168">
        <w:rPr>
          <w:rFonts w:ascii="Calibri" w:eastAsia="Calibri" w:hAnsi="Calibri" w:cs="Calibri"/>
          <w:color w:val="000000" w:themeColor="text1"/>
        </w:rPr>
        <w:t>.</w:t>
      </w:r>
      <w:r w:rsidR="704DA44D" w:rsidRPr="675D3168">
        <w:rPr>
          <w:rFonts w:ascii="Calibri" w:eastAsia="Calibri" w:hAnsi="Calibri" w:cs="Calibri"/>
          <w:color w:val="000000" w:themeColor="text1"/>
        </w:rPr>
        <w:t xml:space="preserve"> </w:t>
      </w:r>
      <w:r w:rsidR="1757CBE5" w:rsidRPr="675D3168">
        <w:rPr>
          <w:rFonts w:ascii="Calibri" w:eastAsia="Calibri" w:hAnsi="Calibri" w:cs="Calibri"/>
          <w:color w:val="000000" w:themeColor="text1"/>
        </w:rPr>
        <w:t>T</w:t>
      </w:r>
      <w:r w:rsidR="704DA44D" w:rsidRPr="675D3168">
        <w:rPr>
          <w:rFonts w:ascii="Calibri" w:eastAsia="Calibri" w:hAnsi="Calibri" w:cs="Calibri"/>
          <w:color w:val="000000" w:themeColor="text1"/>
        </w:rPr>
        <w:t>oo often</w:t>
      </w:r>
      <w:r w:rsidR="5169AF38" w:rsidRPr="675D3168">
        <w:rPr>
          <w:rFonts w:ascii="Calibri" w:eastAsia="Calibri" w:hAnsi="Calibri" w:cs="Calibri"/>
          <w:color w:val="000000" w:themeColor="text1"/>
        </w:rPr>
        <w:t>, infrastructure planning and construction</w:t>
      </w:r>
      <w:r w:rsidR="704DA44D" w:rsidRPr="675D3168">
        <w:rPr>
          <w:rFonts w:ascii="Calibri" w:eastAsia="Calibri" w:hAnsi="Calibri" w:cs="Calibri"/>
          <w:color w:val="000000" w:themeColor="text1"/>
        </w:rPr>
        <w:t xml:space="preserve"> </w:t>
      </w:r>
      <w:r w:rsidR="11A31D41" w:rsidRPr="675D3168">
        <w:rPr>
          <w:rFonts w:ascii="Calibri" w:eastAsia="Calibri" w:hAnsi="Calibri" w:cs="Calibri"/>
          <w:color w:val="000000" w:themeColor="text1"/>
        </w:rPr>
        <w:t xml:space="preserve">prioritises cost-effectiveness </w:t>
      </w:r>
      <w:r w:rsidR="007438C6">
        <w:rPr>
          <w:rFonts w:ascii="Calibri" w:eastAsia="Calibri" w:hAnsi="Calibri" w:cs="Calibri"/>
          <w:color w:val="000000" w:themeColor="text1"/>
        </w:rPr>
        <w:t>while</w:t>
      </w:r>
      <w:r w:rsidR="27E027DA" w:rsidRPr="675D3168">
        <w:rPr>
          <w:rFonts w:ascii="Calibri" w:eastAsia="Calibri" w:hAnsi="Calibri" w:cs="Calibri"/>
          <w:color w:val="000000" w:themeColor="text1"/>
        </w:rPr>
        <w:t xml:space="preserve"> </w:t>
      </w:r>
      <w:r w:rsidR="31EC9484" w:rsidRPr="675D3168">
        <w:rPr>
          <w:rFonts w:ascii="Calibri" w:eastAsia="Calibri" w:hAnsi="Calibri" w:cs="Calibri"/>
          <w:color w:val="000000" w:themeColor="text1"/>
        </w:rPr>
        <w:t>t</w:t>
      </w:r>
      <w:r w:rsidR="27E027DA" w:rsidRPr="675D3168">
        <w:rPr>
          <w:rFonts w:ascii="Calibri" w:eastAsia="Calibri" w:hAnsi="Calibri" w:cs="Calibri"/>
          <w:color w:val="000000" w:themeColor="text1"/>
        </w:rPr>
        <w:t xml:space="preserve">he </w:t>
      </w:r>
      <w:r w:rsidR="007438C6">
        <w:rPr>
          <w:rFonts w:ascii="Calibri" w:eastAsia="Calibri" w:hAnsi="Calibri" w:cs="Calibri"/>
          <w:color w:val="000000" w:themeColor="text1"/>
        </w:rPr>
        <w:t xml:space="preserve">economic and </w:t>
      </w:r>
      <w:r w:rsidR="27E027DA" w:rsidRPr="675D3168">
        <w:rPr>
          <w:rFonts w:ascii="Calibri" w:eastAsia="Calibri" w:hAnsi="Calibri" w:cs="Calibri"/>
          <w:color w:val="000000" w:themeColor="text1"/>
        </w:rPr>
        <w:t xml:space="preserve">social benefits of providing genuinely accessible </w:t>
      </w:r>
      <w:r w:rsidR="00920AA8">
        <w:rPr>
          <w:rFonts w:ascii="Calibri" w:eastAsia="Calibri" w:hAnsi="Calibri" w:cs="Calibri"/>
          <w:color w:val="000000" w:themeColor="text1"/>
        </w:rPr>
        <w:t xml:space="preserve">community </w:t>
      </w:r>
      <w:r w:rsidR="27E027DA" w:rsidRPr="675D3168">
        <w:rPr>
          <w:rFonts w:ascii="Calibri" w:eastAsia="Calibri" w:hAnsi="Calibri" w:cs="Calibri"/>
          <w:color w:val="000000" w:themeColor="text1"/>
        </w:rPr>
        <w:t>infrastructure are not properly quantified.</w:t>
      </w:r>
      <w:r w:rsidR="76ED5B5D" w:rsidRPr="675D3168">
        <w:rPr>
          <w:rFonts w:ascii="Calibri" w:eastAsia="Calibri" w:hAnsi="Calibri" w:cs="Calibri"/>
          <w:color w:val="000000" w:themeColor="text1"/>
        </w:rPr>
        <w:t xml:space="preserve"> </w:t>
      </w:r>
    </w:p>
    <w:p w14:paraId="2D085AC2" w14:textId="23357E3C" w:rsidR="0011145C" w:rsidRPr="00F2032C" w:rsidRDefault="1D126D58" w:rsidP="005E4064">
      <w:pPr>
        <w:spacing w:after="160"/>
        <w:rPr>
          <w:rFonts w:ascii="Calibri" w:eastAsia="Calibri" w:hAnsi="Calibri" w:cs="Calibri"/>
          <w:color w:val="000000" w:themeColor="text1"/>
        </w:rPr>
      </w:pPr>
      <w:r w:rsidRPr="5F5A6EB0">
        <w:rPr>
          <w:rFonts w:ascii="Calibri" w:eastAsia="Calibri" w:hAnsi="Calibri" w:cs="Calibri"/>
          <w:color w:val="000000" w:themeColor="text1"/>
        </w:rPr>
        <w:t xml:space="preserve">The </w:t>
      </w:r>
      <w:r w:rsidR="5916DC7B" w:rsidRPr="5F5A6EB0">
        <w:rPr>
          <w:rFonts w:ascii="Calibri" w:eastAsia="Calibri" w:hAnsi="Calibri" w:cs="Calibri"/>
          <w:color w:val="000000" w:themeColor="text1"/>
        </w:rPr>
        <w:t xml:space="preserve">Greater Adelaide Regional Plan should recognise the need to </w:t>
      </w:r>
      <w:r w:rsidR="00590505">
        <w:rPr>
          <w:rFonts w:ascii="Calibri" w:eastAsia="Calibri" w:hAnsi="Calibri" w:cs="Calibri"/>
          <w:color w:val="000000" w:themeColor="text1"/>
        </w:rPr>
        <w:t xml:space="preserve">plan for </w:t>
      </w:r>
      <w:r w:rsidR="00911C7F">
        <w:rPr>
          <w:rFonts w:ascii="Calibri" w:eastAsia="Calibri" w:hAnsi="Calibri" w:cs="Calibri"/>
          <w:color w:val="000000" w:themeColor="text1"/>
        </w:rPr>
        <w:t>genuinely</w:t>
      </w:r>
      <w:r w:rsidRPr="5F5A6EB0">
        <w:rPr>
          <w:rFonts w:ascii="Calibri" w:eastAsia="Calibri" w:hAnsi="Calibri" w:cs="Calibri"/>
          <w:color w:val="000000" w:themeColor="text1"/>
        </w:rPr>
        <w:t xml:space="preserve"> </w:t>
      </w:r>
      <w:r w:rsidR="7F21367E" w:rsidRPr="5F5A6EB0">
        <w:rPr>
          <w:rFonts w:ascii="Calibri" w:eastAsia="Calibri" w:hAnsi="Calibri" w:cs="Calibri"/>
          <w:color w:val="000000" w:themeColor="text1"/>
        </w:rPr>
        <w:t>accessible</w:t>
      </w:r>
      <w:r w:rsidRPr="5F5A6EB0">
        <w:rPr>
          <w:rFonts w:ascii="Calibri" w:eastAsia="Calibri" w:hAnsi="Calibri" w:cs="Calibri"/>
          <w:color w:val="000000" w:themeColor="text1"/>
        </w:rPr>
        <w:t xml:space="preserve"> </w:t>
      </w:r>
      <w:r w:rsidR="00590505">
        <w:rPr>
          <w:rFonts w:ascii="Calibri" w:eastAsia="Calibri" w:hAnsi="Calibri" w:cs="Calibri"/>
          <w:color w:val="000000" w:themeColor="text1"/>
        </w:rPr>
        <w:t>communities</w:t>
      </w:r>
      <w:r w:rsidR="49EA9FF4" w:rsidRPr="5F5A6EB0">
        <w:rPr>
          <w:rFonts w:ascii="Calibri" w:eastAsia="Calibri" w:hAnsi="Calibri" w:cs="Calibri"/>
          <w:color w:val="000000" w:themeColor="text1"/>
        </w:rPr>
        <w:t>.</w:t>
      </w:r>
      <w:r w:rsidR="4D69DDE7" w:rsidRPr="5F5A6EB0">
        <w:rPr>
          <w:rFonts w:ascii="Calibri" w:eastAsia="Calibri" w:hAnsi="Calibri" w:cs="Calibri"/>
          <w:color w:val="000000" w:themeColor="text1"/>
        </w:rPr>
        <w:t xml:space="preserve"> </w:t>
      </w:r>
      <w:r w:rsidR="00F837D0">
        <w:rPr>
          <w:rFonts w:ascii="Calibri" w:eastAsia="Calibri" w:hAnsi="Calibri" w:cs="Calibri"/>
          <w:color w:val="000000" w:themeColor="text1"/>
        </w:rPr>
        <w:t>H</w:t>
      </w:r>
      <w:r w:rsidR="4D69DDE7" w:rsidRPr="5F5A6EB0">
        <w:rPr>
          <w:rFonts w:ascii="Calibri" w:eastAsia="Calibri" w:hAnsi="Calibri" w:cs="Calibri"/>
          <w:color w:val="000000" w:themeColor="text1"/>
        </w:rPr>
        <w:t xml:space="preserve">ousing </w:t>
      </w:r>
      <w:r w:rsidR="00F837D0">
        <w:rPr>
          <w:rFonts w:ascii="Calibri" w:eastAsia="Calibri" w:hAnsi="Calibri" w:cs="Calibri"/>
          <w:color w:val="000000" w:themeColor="text1"/>
        </w:rPr>
        <w:t xml:space="preserve">for people living with disability </w:t>
      </w:r>
      <w:r w:rsidR="4D69DDE7" w:rsidRPr="5F5A6EB0">
        <w:rPr>
          <w:rFonts w:ascii="Calibri" w:eastAsia="Calibri" w:hAnsi="Calibri" w:cs="Calibri"/>
          <w:color w:val="000000" w:themeColor="text1"/>
        </w:rPr>
        <w:t xml:space="preserve">should be spread throughout </w:t>
      </w:r>
      <w:r w:rsidR="001F3E9B">
        <w:rPr>
          <w:rFonts w:ascii="Calibri" w:eastAsia="Calibri" w:hAnsi="Calibri" w:cs="Calibri"/>
          <w:color w:val="000000" w:themeColor="text1"/>
        </w:rPr>
        <w:t>an accessible</w:t>
      </w:r>
      <w:r w:rsidR="4D69DDE7" w:rsidRPr="5F5A6EB0">
        <w:rPr>
          <w:rFonts w:ascii="Calibri" w:eastAsia="Calibri" w:hAnsi="Calibri" w:cs="Calibri"/>
          <w:color w:val="000000" w:themeColor="text1"/>
        </w:rPr>
        <w:t xml:space="preserve"> community and not congregated or segregated. It should also not create ‘ghetto</w:t>
      </w:r>
      <w:r w:rsidR="009A748B">
        <w:rPr>
          <w:rFonts w:ascii="Calibri" w:eastAsia="Calibri" w:hAnsi="Calibri" w:cs="Calibri"/>
          <w:color w:val="000000" w:themeColor="text1"/>
        </w:rPr>
        <w:t>-</w:t>
      </w:r>
      <w:proofErr w:type="spellStart"/>
      <w:r w:rsidR="4D69DDE7" w:rsidRPr="5F5A6EB0">
        <w:rPr>
          <w:rFonts w:ascii="Calibri" w:eastAsia="Calibri" w:hAnsi="Calibri" w:cs="Calibri"/>
          <w:color w:val="000000" w:themeColor="text1"/>
        </w:rPr>
        <w:t>isation</w:t>
      </w:r>
      <w:proofErr w:type="spellEnd"/>
      <w:r w:rsidR="4D69DDE7" w:rsidRPr="5F5A6EB0">
        <w:rPr>
          <w:rFonts w:ascii="Calibri" w:eastAsia="Calibri" w:hAnsi="Calibri" w:cs="Calibri"/>
          <w:color w:val="000000" w:themeColor="text1"/>
        </w:rPr>
        <w:t xml:space="preserve">’ of public, community, and SDA communities. The </w:t>
      </w:r>
      <w:r w:rsidR="001C73DA">
        <w:rPr>
          <w:rFonts w:ascii="Calibri" w:eastAsia="Calibri" w:hAnsi="Calibri" w:cs="Calibri"/>
          <w:color w:val="000000" w:themeColor="text1"/>
        </w:rPr>
        <w:t xml:space="preserve">many </w:t>
      </w:r>
      <w:r w:rsidR="4D69DDE7" w:rsidRPr="5F5A6EB0">
        <w:rPr>
          <w:rFonts w:ascii="Calibri" w:eastAsia="Calibri" w:hAnsi="Calibri" w:cs="Calibri"/>
          <w:color w:val="000000" w:themeColor="text1"/>
        </w:rPr>
        <w:t xml:space="preserve">benefits of building </w:t>
      </w:r>
      <w:r w:rsidR="00E65FB9">
        <w:rPr>
          <w:rFonts w:ascii="Calibri" w:eastAsia="Calibri" w:hAnsi="Calibri" w:cs="Calibri"/>
          <w:color w:val="000000" w:themeColor="text1"/>
        </w:rPr>
        <w:t>accessible</w:t>
      </w:r>
      <w:r w:rsidR="4D69DDE7" w:rsidRPr="5F5A6EB0">
        <w:rPr>
          <w:rFonts w:ascii="Calibri" w:eastAsia="Calibri" w:hAnsi="Calibri" w:cs="Calibri"/>
          <w:color w:val="000000" w:themeColor="text1"/>
        </w:rPr>
        <w:t xml:space="preserve"> communities should provide </w:t>
      </w:r>
      <w:r w:rsidR="001C73DA">
        <w:rPr>
          <w:rFonts w:ascii="Calibri" w:eastAsia="Calibri" w:hAnsi="Calibri" w:cs="Calibri"/>
          <w:color w:val="000000" w:themeColor="text1"/>
        </w:rPr>
        <w:t>the</w:t>
      </w:r>
      <w:r w:rsidR="4D69DDE7" w:rsidRPr="5F5A6EB0">
        <w:rPr>
          <w:rFonts w:ascii="Calibri" w:eastAsia="Calibri" w:hAnsi="Calibri" w:cs="Calibri"/>
          <w:color w:val="000000" w:themeColor="text1"/>
        </w:rPr>
        <w:t xml:space="preserve"> </w:t>
      </w:r>
      <w:r w:rsidR="001C73DA">
        <w:rPr>
          <w:rFonts w:ascii="Calibri" w:eastAsia="Calibri" w:hAnsi="Calibri" w:cs="Calibri"/>
          <w:color w:val="000000" w:themeColor="text1"/>
        </w:rPr>
        <w:t>context for how</w:t>
      </w:r>
      <w:r w:rsidR="4D69DDE7" w:rsidRPr="5F5A6EB0">
        <w:rPr>
          <w:rFonts w:ascii="Calibri" w:eastAsia="Calibri" w:hAnsi="Calibri" w:cs="Calibri"/>
          <w:color w:val="000000" w:themeColor="text1"/>
        </w:rPr>
        <w:t xml:space="preserve"> green and brownfield developments are planned, designed, and constructed.</w:t>
      </w:r>
    </w:p>
    <w:p w14:paraId="1577DAF5" w14:textId="2EC69398" w:rsidR="00D34769" w:rsidRDefault="07148496" w:rsidP="005E4064">
      <w:pPr>
        <w:spacing w:after="160"/>
        <w:rPr>
          <w:rFonts w:ascii="Calibri" w:eastAsia="Calibri" w:hAnsi="Calibri" w:cs="Calibri"/>
          <w:b/>
          <w:bCs/>
          <w:color w:val="000000" w:themeColor="text1"/>
        </w:rPr>
      </w:pPr>
      <w:bookmarkStart w:id="35" w:name="_Hlk150179701"/>
      <w:r w:rsidRPr="5F5A6EB0">
        <w:rPr>
          <w:rStyle w:val="Heading4Char"/>
          <w:rFonts w:ascii="Calibri" w:eastAsia="Calibri" w:hAnsi="Calibri" w:cs="Calibri"/>
          <w:bCs/>
          <w:szCs w:val="24"/>
        </w:rPr>
        <w:t>Recommendation</w:t>
      </w:r>
      <w:r w:rsidR="001C73DA">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22</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sidR="001C73DA">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 xml:space="preserve">should </w:t>
      </w:r>
      <w:r w:rsidR="00D34769">
        <w:rPr>
          <w:rFonts w:ascii="Calibri" w:eastAsia="Calibri" w:hAnsi="Calibri" w:cs="Calibri"/>
          <w:b/>
          <w:bCs/>
          <w:color w:val="000000" w:themeColor="text1"/>
        </w:rPr>
        <w:t>emphasise the imp</w:t>
      </w:r>
      <w:r w:rsidR="008E345E">
        <w:rPr>
          <w:rFonts w:ascii="Calibri" w:eastAsia="Calibri" w:hAnsi="Calibri" w:cs="Calibri"/>
          <w:b/>
          <w:bCs/>
          <w:color w:val="000000" w:themeColor="text1"/>
        </w:rPr>
        <w:t>act</w:t>
      </w:r>
      <w:r w:rsidR="00D34769">
        <w:rPr>
          <w:rFonts w:ascii="Calibri" w:eastAsia="Calibri" w:hAnsi="Calibri" w:cs="Calibri"/>
          <w:b/>
          <w:bCs/>
          <w:color w:val="000000" w:themeColor="text1"/>
        </w:rPr>
        <w:t xml:space="preserve"> of every step of the planning process </w:t>
      </w:r>
      <w:r w:rsidR="008E345E">
        <w:rPr>
          <w:rFonts w:ascii="Calibri" w:eastAsia="Calibri" w:hAnsi="Calibri" w:cs="Calibri"/>
          <w:b/>
          <w:bCs/>
          <w:color w:val="000000" w:themeColor="text1"/>
        </w:rPr>
        <w:t>on</w:t>
      </w:r>
      <w:r w:rsidR="00BD2A8B">
        <w:rPr>
          <w:rFonts w:ascii="Calibri" w:eastAsia="Calibri" w:hAnsi="Calibri" w:cs="Calibri"/>
          <w:b/>
          <w:bCs/>
          <w:color w:val="000000" w:themeColor="text1"/>
        </w:rPr>
        <w:t xml:space="preserve"> final outcomes and ensure that planning for accessibility </w:t>
      </w:r>
      <w:r w:rsidR="00C00298">
        <w:rPr>
          <w:rFonts w:ascii="Calibri" w:eastAsia="Calibri" w:hAnsi="Calibri" w:cs="Calibri"/>
          <w:b/>
          <w:bCs/>
          <w:color w:val="000000" w:themeColor="text1"/>
        </w:rPr>
        <w:t>is a priority action under the plan.</w:t>
      </w:r>
    </w:p>
    <w:bookmarkEnd w:id="35"/>
    <w:p w14:paraId="42E162C4" w14:textId="5C0B5D77" w:rsidR="5F5A6EB0" w:rsidRDefault="5F5A6EB0" w:rsidP="005E4064">
      <w:pPr>
        <w:spacing w:after="160"/>
        <w:rPr>
          <w:rFonts w:ascii="Calibri" w:eastAsia="Calibri" w:hAnsi="Calibri" w:cs="Calibri"/>
          <w:b/>
          <w:bCs/>
          <w:color w:val="000000" w:themeColor="text1"/>
        </w:rPr>
      </w:pPr>
    </w:p>
    <w:p w14:paraId="6482F1D6" w14:textId="08CAE905" w:rsidR="005C1237" w:rsidRDefault="00F2032C" w:rsidP="005E4064">
      <w:pPr>
        <w:pStyle w:val="Heading2"/>
        <w:spacing w:after="160" w:line="360" w:lineRule="auto"/>
      </w:pPr>
      <w:bookmarkStart w:id="36" w:name="_Toc150180129"/>
      <w:r>
        <w:t xml:space="preserve">Investing in community </w:t>
      </w:r>
      <w:r w:rsidR="0011145C">
        <w:t>infrastructure</w:t>
      </w:r>
      <w:r w:rsidR="006455F3">
        <w:t xml:space="preserve"> that is accessible for all</w:t>
      </w:r>
      <w:bookmarkEnd w:id="36"/>
    </w:p>
    <w:p w14:paraId="7AA06659" w14:textId="2C7AC5CA" w:rsidR="6BC3BC79" w:rsidRDefault="6BC3BC79" w:rsidP="005E4064">
      <w:pPr>
        <w:spacing w:after="160"/>
        <w:rPr>
          <w:rFonts w:ascii="Calibri" w:eastAsia="Calibri" w:hAnsi="Calibri" w:cs="Calibri"/>
          <w:color w:val="000000" w:themeColor="text1"/>
        </w:rPr>
      </w:pPr>
      <w:r w:rsidRPr="5F5A6EB0">
        <w:rPr>
          <w:rFonts w:ascii="Calibri" w:eastAsia="Calibri" w:hAnsi="Calibri" w:cs="Calibri"/>
          <w:color w:val="000000" w:themeColor="text1"/>
        </w:rPr>
        <w:t>The South Australian Government has this year made a series of announcements about new greenfield land releases, particularly in the northern and southern suburbs of Adelaide</w:t>
      </w:r>
      <w:r w:rsidR="00D54A07">
        <w:rPr>
          <w:rFonts w:ascii="Calibri" w:eastAsia="Calibri" w:hAnsi="Calibri" w:cs="Calibri"/>
          <w:color w:val="000000" w:themeColor="text1"/>
        </w:rPr>
        <w:t>.</w:t>
      </w:r>
      <w:r w:rsidRPr="5F5A6EB0">
        <w:rPr>
          <w:rFonts w:ascii="Calibri" w:eastAsia="Calibri" w:hAnsi="Calibri" w:cs="Calibri"/>
          <w:color w:val="000000" w:themeColor="text1"/>
        </w:rPr>
        <w:t xml:space="preserve"> </w:t>
      </w:r>
      <w:r w:rsidR="00D54A07">
        <w:rPr>
          <w:rFonts w:ascii="Calibri" w:eastAsia="Calibri" w:hAnsi="Calibri" w:cs="Calibri"/>
          <w:color w:val="000000" w:themeColor="text1"/>
        </w:rPr>
        <w:t>T</w:t>
      </w:r>
      <w:r w:rsidRPr="5F5A6EB0">
        <w:rPr>
          <w:rFonts w:ascii="Calibri" w:eastAsia="Calibri" w:hAnsi="Calibri" w:cs="Calibri"/>
          <w:color w:val="000000" w:themeColor="text1"/>
        </w:rPr>
        <w:t xml:space="preserve">he GARP contemplates </w:t>
      </w:r>
      <w:r w:rsidR="11806699" w:rsidRPr="675D3168">
        <w:rPr>
          <w:rFonts w:ascii="Calibri" w:eastAsia="Calibri" w:hAnsi="Calibri" w:cs="Calibri"/>
          <w:color w:val="000000" w:themeColor="text1"/>
        </w:rPr>
        <w:t>a greater choice of housing in the right places</w:t>
      </w:r>
      <w:r w:rsidR="64572F0F" w:rsidRPr="675D3168">
        <w:rPr>
          <w:rFonts w:ascii="Calibri" w:eastAsia="Calibri" w:hAnsi="Calibri" w:cs="Calibri"/>
          <w:color w:val="000000" w:themeColor="text1"/>
        </w:rPr>
        <w:t>, including small scale infill, redevelopment of brownfield sites, development along urban corridors</w:t>
      </w:r>
      <w:r w:rsidR="002E2F64">
        <w:rPr>
          <w:rFonts w:ascii="Calibri" w:eastAsia="Calibri" w:hAnsi="Calibri" w:cs="Calibri"/>
          <w:color w:val="000000" w:themeColor="text1"/>
        </w:rPr>
        <w:t>,</w:t>
      </w:r>
      <w:r w:rsidR="64572F0F" w:rsidRPr="675D3168">
        <w:rPr>
          <w:rFonts w:ascii="Calibri" w:eastAsia="Calibri" w:hAnsi="Calibri" w:cs="Calibri"/>
          <w:color w:val="000000" w:themeColor="text1"/>
        </w:rPr>
        <w:t xml:space="preserve"> and greenfield growth on the edges of established urb</w:t>
      </w:r>
      <w:r w:rsidR="5C3B96F4" w:rsidRPr="675D3168">
        <w:rPr>
          <w:rFonts w:ascii="Calibri" w:eastAsia="Calibri" w:hAnsi="Calibri" w:cs="Calibri"/>
          <w:color w:val="000000" w:themeColor="text1"/>
        </w:rPr>
        <w:t>an areas</w:t>
      </w:r>
      <w:r w:rsidR="00502C71">
        <w:rPr>
          <w:rFonts w:ascii="Calibri" w:eastAsia="Calibri" w:hAnsi="Calibri" w:cs="Calibri"/>
          <w:color w:val="000000" w:themeColor="text1"/>
        </w:rPr>
        <w:t xml:space="preserve">. These developments </w:t>
      </w:r>
      <w:r w:rsidRPr="5F5A6EB0">
        <w:rPr>
          <w:rFonts w:ascii="Calibri" w:eastAsia="Calibri" w:hAnsi="Calibri" w:cs="Calibri"/>
          <w:color w:val="000000" w:themeColor="text1"/>
        </w:rPr>
        <w:t xml:space="preserve">present both opportunities and challenges. It is imperative the Government ensure that adequate infrastructure is put in place to support these new communities before residents begin to move in. Otherwise, communities are left without vital services, such as access to public transport, schools, </w:t>
      </w:r>
      <w:r w:rsidR="00FF7943">
        <w:rPr>
          <w:rFonts w:ascii="Calibri" w:eastAsia="Calibri" w:hAnsi="Calibri" w:cs="Calibri"/>
          <w:color w:val="000000" w:themeColor="text1"/>
        </w:rPr>
        <w:t>amenities</w:t>
      </w:r>
      <w:r w:rsidR="738B7D4D" w:rsidRPr="5F5A6EB0">
        <w:rPr>
          <w:rFonts w:ascii="Calibri" w:eastAsia="Calibri" w:hAnsi="Calibri" w:cs="Calibri"/>
          <w:color w:val="000000" w:themeColor="text1"/>
        </w:rPr>
        <w:t xml:space="preserve">, and </w:t>
      </w:r>
      <w:r w:rsidRPr="5F5A6EB0">
        <w:rPr>
          <w:rFonts w:ascii="Calibri" w:eastAsia="Calibri" w:hAnsi="Calibri" w:cs="Calibri"/>
          <w:color w:val="000000" w:themeColor="text1"/>
        </w:rPr>
        <w:t>health services. It is also critical that community infrastructure adheres to the principles of Universal Design and ensures people living with disability, older people, people with prams, people with short-term injuries, and all others can easily move around</w:t>
      </w:r>
      <w:r w:rsidR="0695BF7F" w:rsidRPr="0752398A">
        <w:rPr>
          <w:rFonts w:ascii="Calibri" w:eastAsia="Calibri" w:hAnsi="Calibri" w:cs="Calibri"/>
          <w:color w:val="000000" w:themeColor="text1"/>
        </w:rPr>
        <w:t>,</w:t>
      </w:r>
      <w:r w:rsidRPr="5F5A6EB0">
        <w:rPr>
          <w:rFonts w:ascii="Calibri" w:eastAsia="Calibri" w:hAnsi="Calibri" w:cs="Calibri"/>
          <w:color w:val="000000" w:themeColor="text1"/>
        </w:rPr>
        <w:t xml:space="preserve"> including via accessible footpaths, carparking, and building access points.</w:t>
      </w:r>
    </w:p>
    <w:p w14:paraId="79BB4CA3" w14:textId="272A2FDC" w:rsidR="00186779" w:rsidRDefault="00E843E1" w:rsidP="005E4064">
      <w:pPr>
        <w:spacing w:after="160"/>
        <w:rPr>
          <w:rFonts w:ascii="Calibri" w:eastAsia="Calibri" w:hAnsi="Calibri" w:cs="Calibri"/>
          <w:color w:val="000000" w:themeColor="text1"/>
        </w:rPr>
      </w:pPr>
      <w:r>
        <w:rPr>
          <w:rFonts w:ascii="Calibri" w:eastAsia="Calibri" w:hAnsi="Calibri" w:cs="Calibri"/>
          <w:color w:val="000000" w:themeColor="text1"/>
        </w:rPr>
        <w:lastRenderedPageBreak/>
        <w:t>It is critically important that c</w:t>
      </w:r>
      <w:r w:rsidR="00186779">
        <w:rPr>
          <w:rFonts w:ascii="Calibri" w:eastAsia="Calibri" w:hAnsi="Calibri" w:cs="Calibri"/>
          <w:color w:val="000000" w:themeColor="text1"/>
        </w:rPr>
        <w:t xml:space="preserve">ommunity </w:t>
      </w:r>
      <w:r>
        <w:rPr>
          <w:rFonts w:ascii="Calibri" w:eastAsia="Calibri" w:hAnsi="Calibri" w:cs="Calibri"/>
          <w:color w:val="000000" w:themeColor="text1"/>
        </w:rPr>
        <w:t xml:space="preserve">and social infrastructure </w:t>
      </w:r>
      <w:proofErr w:type="gramStart"/>
      <w:r>
        <w:rPr>
          <w:rFonts w:ascii="Calibri" w:eastAsia="Calibri" w:hAnsi="Calibri" w:cs="Calibri"/>
          <w:color w:val="000000" w:themeColor="text1"/>
        </w:rPr>
        <w:t>does</w:t>
      </w:r>
      <w:proofErr w:type="gramEnd"/>
      <w:r>
        <w:rPr>
          <w:rFonts w:ascii="Calibri" w:eastAsia="Calibri" w:hAnsi="Calibri" w:cs="Calibri"/>
          <w:color w:val="000000" w:themeColor="text1"/>
        </w:rPr>
        <w:t xml:space="preserve"> not </w:t>
      </w:r>
      <w:r w:rsidR="00352A13">
        <w:rPr>
          <w:rFonts w:ascii="Calibri" w:eastAsia="Calibri" w:hAnsi="Calibri" w:cs="Calibri"/>
          <w:color w:val="000000" w:themeColor="text1"/>
        </w:rPr>
        <w:t>continue to perpetuate segregation of people living with disabilit</w:t>
      </w:r>
      <w:r w:rsidR="00345600">
        <w:rPr>
          <w:rFonts w:ascii="Calibri" w:eastAsia="Calibri" w:hAnsi="Calibri" w:cs="Calibri"/>
          <w:color w:val="000000" w:themeColor="text1"/>
        </w:rPr>
        <w:t>y</w:t>
      </w:r>
      <w:r w:rsidR="00352A13">
        <w:rPr>
          <w:rFonts w:ascii="Calibri" w:eastAsia="Calibri" w:hAnsi="Calibri" w:cs="Calibri"/>
          <w:color w:val="000000" w:themeColor="text1"/>
        </w:rPr>
        <w:t xml:space="preserve">. </w:t>
      </w:r>
      <w:r w:rsidR="005850CF">
        <w:rPr>
          <w:rFonts w:ascii="Calibri" w:eastAsia="Calibri" w:hAnsi="Calibri" w:cs="Calibri"/>
          <w:color w:val="000000" w:themeColor="text1"/>
        </w:rPr>
        <w:t xml:space="preserve">For far too long, society has </w:t>
      </w:r>
      <w:r w:rsidR="00EA7456">
        <w:rPr>
          <w:rFonts w:ascii="Calibri" w:eastAsia="Calibri" w:hAnsi="Calibri" w:cs="Calibri"/>
          <w:color w:val="000000" w:themeColor="text1"/>
        </w:rPr>
        <w:t>perpetuated segregation in education, employment, housing, transport</w:t>
      </w:r>
      <w:r w:rsidR="00814F6C">
        <w:rPr>
          <w:rFonts w:ascii="Calibri" w:eastAsia="Calibri" w:hAnsi="Calibri" w:cs="Calibri"/>
          <w:color w:val="000000" w:themeColor="text1"/>
        </w:rPr>
        <w:t xml:space="preserve">, and </w:t>
      </w:r>
      <w:r w:rsidR="00893D5E">
        <w:rPr>
          <w:rFonts w:ascii="Calibri" w:eastAsia="Calibri" w:hAnsi="Calibri" w:cs="Calibri"/>
          <w:color w:val="000000" w:themeColor="text1"/>
        </w:rPr>
        <w:t>other</w:t>
      </w:r>
      <w:r w:rsidR="00814F6C">
        <w:rPr>
          <w:rFonts w:ascii="Calibri" w:eastAsia="Calibri" w:hAnsi="Calibri" w:cs="Calibri"/>
          <w:color w:val="000000" w:themeColor="text1"/>
        </w:rPr>
        <w:t xml:space="preserve"> community </w:t>
      </w:r>
      <w:r w:rsidR="003E4D99">
        <w:rPr>
          <w:rFonts w:ascii="Calibri" w:eastAsia="Calibri" w:hAnsi="Calibri" w:cs="Calibri"/>
          <w:color w:val="000000" w:themeColor="text1"/>
        </w:rPr>
        <w:t xml:space="preserve">infrastructure </w:t>
      </w:r>
      <w:r w:rsidR="00814F6C">
        <w:rPr>
          <w:rFonts w:ascii="Calibri" w:eastAsia="Calibri" w:hAnsi="Calibri" w:cs="Calibri"/>
          <w:color w:val="000000" w:themeColor="text1"/>
        </w:rPr>
        <w:t xml:space="preserve">and this creates barriers </w:t>
      </w:r>
      <w:r w:rsidR="00C805B5">
        <w:rPr>
          <w:rFonts w:ascii="Calibri" w:eastAsia="Calibri" w:hAnsi="Calibri" w:cs="Calibri"/>
          <w:color w:val="000000" w:themeColor="text1"/>
        </w:rPr>
        <w:t xml:space="preserve">in both accessibility and attitudes. </w:t>
      </w:r>
      <w:r w:rsidR="00C340A2">
        <w:rPr>
          <w:rFonts w:ascii="Calibri" w:eastAsia="Calibri" w:hAnsi="Calibri" w:cs="Calibri"/>
          <w:color w:val="000000" w:themeColor="text1"/>
        </w:rPr>
        <w:t>I</w:t>
      </w:r>
      <w:r w:rsidR="00C340A2" w:rsidRPr="00C340A2">
        <w:rPr>
          <w:rFonts w:ascii="Calibri" w:eastAsia="Calibri" w:hAnsi="Calibri" w:cs="Calibri"/>
          <w:color w:val="000000" w:themeColor="text1"/>
        </w:rPr>
        <w:t xml:space="preserve">n their effects, these separate ‘special’ disability-focused facilities, services, and programs reinforce a community perception that people living with disability are best served by having separate ‘special’ things. This has been termed ‘othering’. It kills true social, community, and economic participation and should have no place in our decision-making. </w:t>
      </w:r>
      <w:r w:rsidR="000811A2" w:rsidRPr="000811A2">
        <w:rPr>
          <w:rFonts w:ascii="Calibri" w:eastAsia="Calibri" w:hAnsi="Calibri" w:cs="Calibri"/>
          <w:color w:val="000000" w:themeColor="text1"/>
        </w:rPr>
        <w:t xml:space="preserve">The recent Final Report of the </w:t>
      </w:r>
      <w:r w:rsidR="00BD4C95" w:rsidRPr="00BD4C95">
        <w:rPr>
          <w:rFonts w:ascii="Calibri" w:eastAsia="Calibri" w:hAnsi="Calibri" w:cs="Calibri"/>
          <w:color w:val="000000" w:themeColor="text1"/>
        </w:rPr>
        <w:t>Royal Commission into Violence, Abuse, Neglect, and Exploitation of People with Disability</w:t>
      </w:r>
      <w:r w:rsidR="000811A2" w:rsidRPr="000811A2">
        <w:rPr>
          <w:rFonts w:ascii="Calibri" w:eastAsia="Calibri" w:hAnsi="Calibri" w:cs="Calibri"/>
          <w:color w:val="000000" w:themeColor="text1"/>
        </w:rPr>
        <w:t xml:space="preserve"> has placed a spotlight on these unacceptable practices. </w:t>
      </w:r>
      <w:r w:rsidR="00C340A2" w:rsidRPr="00C340A2">
        <w:rPr>
          <w:rFonts w:ascii="Calibri" w:eastAsia="Calibri" w:hAnsi="Calibri" w:cs="Calibri"/>
          <w:color w:val="000000" w:themeColor="text1"/>
        </w:rPr>
        <w:t>Ordinary neighbourhood resources and opportunities available to all local people are a natural gateway to community membership. They bring meaningful valued roles readily available in our communities, often at low or no cost, into the lives of people living with disability. Assisting a person to connect to these resources and opportunities</w:t>
      </w:r>
      <w:r w:rsidR="00BD01EF">
        <w:rPr>
          <w:rFonts w:ascii="Calibri" w:eastAsia="Calibri" w:hAnsi="Calibri" w:cs="Calibri"/>
          <w:color w:val="000000" w:themeColor="text1"/>
        </w:rPr>
        <w:t xml:space="preserve"> by ensuring communities are accessible</w:t>
      </w:r>
      <w:r w:rsidR="00C340A2" w:rsidRPr="00C340A2">
        <w:rPr>
          <w:rFonts w:ascii="Calibri" w:eastAsia="Calibri" w:hAnsi="Calibri" w:cs="Calibri"/>
          <w:color w:val="000000" w:themeColor="text1"/>
        </w:rPr>
        <w:t xml:space="preserve"> can lead to a snowballing of connections and relationships for a person over time.</w:t>
      </w:r>
    </w:p>
    <w:p w14:paraId="7FB064F6" w14:textId="0ED81481" w:rsidR="00EB6871" w:rsidRDefault="000F3CEA" w:rsidP="005E4064">
      <w:pPr>
        <w:spacing w:after="160"/>
        <w:rPr>
          <w:rFonts w:ascii="Calibri" w:eastAsia="Calibri" w:hAnsi="Calibri" w:cs="Calibri"/>
          <w:color w:val="000000" w:themeColor="text1"/>
        </w:rPr>
      </w:pPr>
      <w:bookmarkStart w:id="37" w:name="_Hlk150179708"/>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23</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include </w:t>
      </w:r>
      <w:r w:rsidR="00125487">
        <w:rPr>
          <w:rFonts w:ascii="Calibri" w:eastAsia="Calibri" w:hAnsi="Calibri" w:cs="Calibri"/>
          <w:b/>
          <w:bCs/>
          <w:color w:val="000000" w:themeColor="text1"/>
        </w:rPr>
        <w:t>outcomes and measurable targets that ens</w:t>
      </w:r>
      <w:r w:rsidR="00B02775">
        <w:rPr>
          <w:rFonts w:ascii="Calibri" w:eastAsia="Calibri" w:hAnsi="Calibri" w:cs="Calibri"/>
          <w:b/>
          <w:bCs/>
          <w:color w:val="000000" w:themeColor="text1"/>
        </w:rPr>
        <w:t xml:space="preserve">ure all investment is directed to community infrastructure that is </w:t>
      </w:r>
      <w:r w:rsidR="00B60AFC">
        <w:rPr>
          <w:rFonts w:ascii="Calibri" w:eastAsia="Calibri" w:hAnsi="Calibri" w:cs="Calibri"/>
          <w:b/>
          <w:bCs/>
          <w:color w:val="000000" w:themeColor="text1"/>
        </w:rPr>
        <w:t xml:space="preserve">genuinely </w:t>
      </w:r>
      <w:r w:rsidR="00B02775">
        <w:rPr>
          <w:rFonts w:ascii="Calibri" w:eastAsia="Calibri" w:hAnsi="Calibri" w:cs="Calibri"/>
          <w:b/>
          <w:bCs/>
          <w:color w:val="000000" w:themeColor="text1"/>
        </w:rPr>
        <w:t xml:space="preserve">accessible </w:t>
      </w:r>
      <w:r w:rsidR="0091335F">
        <w:rPr>
          <w:rFonts w:ascii="Calibri" w:eastAsia="Calibri" w:hAnsi="Calibri" w:cs="Calibri"/>
          <w:b/>
          <w:bCs/>
          <w:color w:val="000000" w:themeColor="text1"/>
        </w:rPr>
        <w:t>to, and inclusive of,</w:t>
      </w:r>
      <w:r w:rsidR="00B02775">
        <w:rPr>
          <w:rFonts w:ascii="Calibri" w:eastAsia="Calibri" w:hAnsi="Calibri" w:cs="Calibri"/>
          <w:b/>
          <w:bCs/>
          <w:color w:val="000000" w:themeColor="text1"/>
        </w:rPr>
        <w:t xml:space="preserve"> everyone.</w:t>
      </w:r>
      <w:r w:rsidR="00D96D6D">
        <w:rPr>
          <w:rFonts w:ascii="Calibri" w:eastAsia="Calibri" w:hAnsi="Calibri" w:cs="Calibri"/>
          <w:b/>
          <w:bCs/>
          <w:color w:val="000000" w:themeColor="text1"/>
        </w:rPr>
        <w:t xml:space="preserve"> </w:t>
      </w:r>
      <w:r w:rsidR="00DC2747">
        <w:rPr>
          <w:rFonts w:ascii="Calibri" w:eastAsia="Calibri" w:hAnsi="Calibri" w:cs="Calibri"/>
          <w:b/>
          <w:bCs/>
          <w:color w:val="000000" w:themeColor="text1"/>
        </w:rPr>
        <w:t>It should explicitly rule out investment in segregated provisions in any form.</w:t>
      </w:r>
    </w:p>
    <w:bookmarkEnd w:id="37"/>
    <w:p w14:paraId="403A6EC7" w14:textId="77777777" w:rsidR="00B80845" w:rsidRDefault="00B80845" w:rsidP="005E4064">
      <w:pPr>
        <w:spacing w:after="160"/>
        <w:rPr>
          <w:rFonts w:ascii="Calibri" w:eastAsia="Calibri" w:hAnsi="Calibri" w:cs="Calibri"/>
          <w:color w:val="000000" w:themeColor="text1"/>
        </w:rPr>
      </w:pPr>
    </w:p>
    <w:p w14:paraId="78EDB08A" w14:textId="2DB97E99" w:rsidR="00EB6871" w:rsidRDefault="00B80845" w:rsidP="00B80845">
      <w:pPr>
        <w:pStyle w:val="Heading3"/>
        <w:spacing w:after="160" w:line="360" w:lineRule="auto"/>
        <w:ind w:hanging="851"/>
      </w:pPr>
      <w:bookmarkStart w:id="38" w:name="_Toc150180130"/>
      <w:r>
        <w:t>Transport infrastructure</w:t>
      </w:r>
      <w:bookmarkEnd w:id="38"/>
    </w:p>
    <w:p w14:paraId="09287A80" w14:textId="3A60AD86" w:rsidR="00CA44A6" w:rsidRDefault="00B80845" w:rsidP="00B80845">
      <w:pPr>
        <w:spacing w:after="160"/>
        <w:jc w:val="both"/>
        <w:rPr>
          <w:rFonts w:eastAsiaTheme="minorEastAsia"/>
          <w:color w:val="000000" w:themeColor="text1"/>
        </w:rPr>
      </w:pPr>
      <w:r w:rsidRPr="5F5A6EB0">
        <w:rPr>
          <w:rFonts w:eastAsiaTheme="minorEastAsia"/>
          <w:color w:val="000000" w:themeColor="text1"/>
        </w:rPr>
        <w:t xml:space="preserve">Given that accessible transport is fundamental for </w:t>
      </w:r>
      <w:r>
        <w:rPr>
          <w:rFonts w:eastAsiaTheme="minorEastAsia"/>
          <w:color w:val="000000" w:themeColor="text1"/>
        </w:rPr>
        <w:t>many people, including people</w:t>
      </w:r>
      <w:r w:rsidRPr="5F5A6EB0">
        <w:rPr>
          <w:rFonts w:eastAsiaTheme="minorEastAsia"/>
          <w:color w:val="000000" w:themeColor="text1"/>
        </w:rPr>
        <w:t xml:space="preserve"> living with disability</w:t>
      </w:r>
      <w:r>
        <w:rPr>
          <w:rFonts w:eastAsiaTheme="minorEastAsia"/>
          <w:color w:val="000000" w:themeColor="text1"/>
        </w:rPr>
        <w:t>,</w:t>
      </w:r>
      <w:r w:rsidRPr="5F5A6EB0">
        <w:rPr>
          <w:rFonts w:eastAsiaTheme="minorEastAsia"/>
          <w:color w:val="000000" w:themeColor="text1"/>
        </w:rPr>
        <w:t xml:space="preserve"> to access essential services and participate in the social, cultural, and economic li</w:t>
      </w:r>
      <w:r w:rsidR="00BD01EF">
        <w:rPr>
          <w:rFonts w:eastAsiaTheme="minorEastAsia"/>
          <w:color w:val="000000" w:themeColor="text1"/>
        </w:rPr>
        <w:t>fe</w:t>
      </w:r>
      <w:r w:rsidRPr="5F5A6EB0">
        <w:rPr>
          <w:rFonts w:eastAsiaTheme="minorEastAsia"/>
          <w:color w:val="000000" w:themeColor="text1"/>
        </w:rPr>
        <w:t xml:space="preserve"> of our communities, we believe the GARP </w:t>
      </w:r>
      <w:r w:rsidR="00EA03DA">
        <w:rPr>
          <w:rFonts w:eastAsiaTheme="minorEastAsia"/>
          <w:color w:val="000000" w:themeColor="text1"/>
        </w:rPr>
        <w:t xml:space="preserve">should </w:t>
      </w:r>
      <w:r w:rsidR="00213789">
        <w:rPr>
          <w:rFonts w:eastAsiaTheme="minorEastAsia"/>
          <w:color w:val="000000" w:themeColor="text1"/>
        </w:rPr>
        <w:t xml:space="preserve">give focused attention to how this </w:t>
      </w:r>
      <w:r w:rsidR="00F32208">
        <w:rPr>
          <w:rFonts w:eastAsiaTheme="minorEastAsia"/>
          <w:color w:val="000000" w:themeColor="text1"/>
        </w:rPr>
        <w:t>can be deliver</w:t>
      </w:r>
      <w:r w:rsidR="005E4AE2">
        <w:rPr>
          <w:rFonts w:eastAsiaTheme="minorEastAsia"/>
          <w:color w:val="000000" w:themeColor="text1"/>
        </w:rPr>
        <w:t>ed</w:t>
      </w:r>
      <w:r w:rsidR="00F32208">
        <w:rPr>
          <w:rFonts w:eastAsiaTheme="minorEastAsia"/>
          <w:color w:val="000000" w:themeColor="text1"/>
        </w:rPr>
        <w:t xml:space="preserve"> across the Greater Adelaide region. </w:t>
      </w:r>
      <w:r w:rsidR="00F32208" w:rsidRPr="5F5A6EB0">
        <w:rPr>
          <w:rFonts w:eastAsiaTheme="minorEastAsia"/>
          <w:color w:val="000000" w:themeColor="text1"/>
        </w:rPr>
        <w:t xml:space="preserve">Indeed, under Article 9 of the United Nations Convention on the Rights of Persons with Disabilities (UNCRPD), Australia is obligated to ensure that people living with disability can access transport services </w:t>
      </w:r>
      <w:r w:rsidR="001D236B">
        <w:rPr>
          <w:rFonts w:eastAsiaTheme="minorEastAsia"/>
          <w:color w:val="000000" w:themeColor="text1"/>
        </w:rPr>
        <w:t>‘</w:t>
      </w:r>
      <w:r w:rsidR="00F32208" w:rsidRPr="5F5A6EB0">
        <w:rPr>
          <w:rFonts w:eastAsiaTheme="minorEastAsia"/>
          <w:color w:val="000000" w:themeColor="text1"/>
        </w:rPr>
        <w:t>on an equal basis with others</w:t>
      </w:r>
      <w:r w:rsidR="001D236B">
        <w:rPr>
          <w:rFonts w:eastAsiaTheme="minorEastAsia"/>
          <w:color w:val="000000" w:themeColor="text1"/>
        </w:rPr>
        <w:t xml:space="preserve">.’ </w:t>
      </w:r>
      <w:r w:rsidR="00CA44A6" w:rsidRPr="5F5A6EB0">
        <w:rPr>
          <w:rFonts w:eastAsiaTheme="minorEastAsia"/>
          <w:color w:val="000000" w:themeColor="text1"/>
        </w:rPr>
        <w:t xml:space="preserve">Furthermore, in </w:t>
      </w:r>
      <w:r w:rsidR="00CA44A6" w:rsidRPr="5F5A6EB0">
        <w:rPr>
          <w:rFonts w:eastAsiaTheme="minorEastAsia"/>
          <w:i/>
          <w:iCs/>
          <w:color w:val="000000" w:themeColor="text1"/>
        </w:rPr>
        <w:t>Australia’s Disability Strategy 2021-2031</w:t>
      </w:r>
      <w:r w:rsidR="00CA44A6" w:rsidRPr="5F5A6EB0">
        <w:rPr>
          <w:rFonts w:eastAsiaTheme="minorEastAsia"/>
          <w:color w:val="000000" w:themeColor="text1"/>
        </w:rPr>
        <w:t xml:space="preserve">, federal, state, territory, and local governments have recognised the value of accessible transport services to both </w:t>
      </w:r>
      <w:r w:rsidR="00CA44A6" w:rsidRPr="5F5A6EB0">
        <w:rPr>
          <w:rFonts w:eastAsiaTheme="minorEastAsia"/>
          <w:color w:val="000000" w:themeColor="text1"/>
        </w:rPr>
        <w:lastRenderedPageBreak/>
        <w:t xml:space="preserve">individual and community </w:t>
      </w:r>
      <w:proofErr w:type="gramStart"/>
      <w:r w:rsidR="00CA44A6" w:rsidRPr="5F5A6EB0">
        <w:rPr>
          <w:rFonts w:eastAsiaTheme="minorEastAsia"/>
          <w:color w:val="000000" w:themeColor="text1"/>
        </w:rPr>
        <w:t>lives</w:t>
      </w:r>
      <w:proofErr w:type="gramEnd"/>
      <w:r w:rsidR="00CA44A6" w:rsidRPr="5F5A6EB0">
        <w:rPr>
          <w:rFonts w:eastAsiaTheme="minorEastAsia"/>
          <w:color w:val="000000" w:themeColor="text1"/>
        </w:rPr>
        <w:t xml:space="preserve"> and committed to the goal of ensuring that </w:t>
      </w:r>
      <w:r w:rsidR="00163643">
        <w:rPr>
          <w:rFonts w:eastAsiaTheme="minorEastAsia"/>
          <w:color w:val="000000" w:themeColor="text1"/>
        </w:rPr>
        <w:t>‘</w:t>
      </w:r>
      <w:r w:rsidR="00CA44A6" w:rsidRPr="5F5A6EB0">
        <w:rPr>
          <w:rFonts w:eastAsiaTheme="minorEastAsia"/>
          <w:color w:val="000000" w:themeColor="text1"/>
        </w:rPr>
        <w:t>transport systems are accessible for the whole community</w:t>
      </w:r>
      <w:r w:rsidR="00163643">
        <w:rPr>
          <w:rFonts w:eastAsiaTheme="minorEastAsia"/>
          <w:color w:val="000000" w:themeColor="text1"/>
        </w:rPr>
        <w:t>’</w:t>
      </w:r>
      <w:r w:rsidR="00CA44A6" w:rsidRPr="5F5A6EB0">
        <w:rPr>
          <w:rFonts w:eastAsiaTheme="minorEastAsia"/>
          <w:color w:val="000000" w:themeColor="text1"/>
        </w:rPr>
        <w:t xml:space="preserve"> (priority number 5).</w:t>
      </w:r>
      <w:r w:rsidR="000567BE">
        <w:rPr>
          <w:rStyle w:val="FootnoteReference"/>
          <w:rFonts w:eastAsiaTheme="minorEastAsia"/>
          <w:color w:val="000000" w:themeColor="text1"/>
        </w:rPr>
        <w:footnoteReference w:id="20"/>
      </w:r>
    </w:p>
    <w:p w14:paraId="6E9E0121" w14:textId="188789CF" w:rsidR="00EA03DA" w:rsidRDefault="001D236B" w:rsidP="00B80845">
      <w:pPr>
        <w:spacing w:after="160"/>
        <w:jc w:val="both"/>
        <w:rPr>
          <w:rFonts w:eastAsiaTheme="minorEastAsia"/>
          <w:color w:val="000000" w:themeColor="text1"/>
        </w:rPr>
      </w:pPr>
      <w:r>
        <w:rPr>
          <w:rFonts w:eastAsiaTheme="minorEastAsia"/>
          <w:color w:val="000000" w:themeColor="text1"/>
        </w:rPr>
        <w:t xml:space="preserve">This outcome is yet to materialise </w:t>
      </w:r>
      <w:r w:rsidR="005E4AE2">
        <w:rPr>
          <w:rFonts w:eastAsiaTheme="minorEastAsia"/>
          <w:color w:val="000000" w:themeColor="text1"/>
        </w:rPr>
        <w:t xml:space="preserve">despite the </w:t>
      </w:r>
      <w:r w:rsidR="009A31C3" w:rsidRPr="009A31C3">
        <w:rPr>
          <w:rFonts w:eastAsiaTheme="minorEastAsia"/>
          <w:color w:val="000000" w:themeColor="text1"/>
        </w:rPr>
        <w:t>Disability Standards for Accessible Public Transport 2002, known as the Transport Standards</w:t>
      </w:r>
      <w:r w:rsidR="009A31C3">
        <w:rPr>
          <w:rFonts w:eastAsiaTheme="minorEastAsia"/>
          <w:color w:val="000000" w:themeColor="text1"/>
        </w:rPr>
        <w:t xml:space="preserve">, </w:t>
      </w:r>
      <w:r w:rsidR="00BD01EF">
        <w:rPr>
          <w:rFonts w:eastAsiaTheme="minorEastAsia"/>
          <w:color w:val="000000" w:themeColor="text1"/>
        </w:rPr>
        <w:t xml:space="preserve">having </w:t>
      </w:r>
      <w:r w:rsidR="009A31C3">
        <w:rPr>
          <w:rFonts w:eastAsiaTheme="minorEastAsia"/>
          <w:color w:val="000000" w:themeColor="text1"/>
        </w:rPr>
        <w:t>committ</w:t>
      </w:r>
      <w:r w:rsidR="00BD01EF">
        <w:rPr>
          <w:rFonts w:eastAsiaTheme="minorEastAsia"/>
          <w:color w:val="000000" w:themeColor="text1"/>
        </w:rPr>
        <w:t>ed</w:t>
      </w:r>
      <w:r w:rsidR="009A31C3">
        <w:rPr>
          <w:rFonts w:eastAsiaTheme="minorEastAsia"/>
          <w:color w:val="000000" w:themeColor="text1"/>
        </w:rPr>
        <w:t xml:space="preserve"> Australia to </w:t>
      </w:r>
      <w:r w:rsidR="00C40A58">
        <w:rPr>
          <w:rFonts w:eastAsiaTheme="minorEastAsia"/>
          <w:color w:val="000000" w:themeColor="text1"/>
        </w:rPr>
        <w:t xml:space="preserve">achieving </w:t>
      </w:r>
      <w:r w:rsidR="00E116C3">
        <w:rPr>
          <w:rFonts w:eastAsiaTheme="minorEastAsia"/>
          <w:color w:val="000000" w:themeColor="text1"/>
        </w:rPr>
        <w:t xml:space="preserve">fully </w:t>
      </w:r>
      <w:r w:rsidR="00DC21D1">
        <w:rPr>
          <w:rFonts w:eastAsiaTheme="minorEastAsia"/>
          <w:color w:val="000000" w:themeColor="text1"/>
        </w:rPr>
        <w:t>accessible public transport and associated infrastructure by the end of 2022</w:t>
      </w:r>
      <w:r w:rsidR="00163643">
        <w:rPr>
          <w:rFonts w:eastAsiaTheme="minorEastAsia"/>
          <w:color w:val="000000" w:themeColor="text1"/>
        </w:rPr>
        <w:t xml:space="preserve"> (except for the train and tram conveyances, which ha</w:t>
      </w:r>
      <w:r w:rsidR="00BD01EF">
        <w:rPr>
          <w:rFonts w:eastAsiaTheme="minorEastAsia"/>
          <w:color w:val="000000" w:themeColor="text1"/>
        </w:rPr>
        <w:t>d</w:t>
      </w:r>
      <w:r w:rsidR="00163643">
        <w:rPr>
          <w:rFonts w:eastAsiaTheme="minorEastAsia"/>
          <w:color w:val="000000" w:themeColor="text1"/>
        </w:rPr>
        <w:t xml:space="preserve"> until 2032 to comply)</w:t>
      </w:r>
      <w:r w:rsidR="00DC21D1">
        <w:rPr>
          <w:rFonts w:eastAsiaTheme="minorEastAsia"/>
          <w:color w:val="000000" w:themeColor="text1"/>
        </w:rPr>
        <w:t xml:space="preserve">. </w:t>
      </w:r>
      <w:r w:rsidR="00345049" w:rsidRPr="5F5A6EB0">
        <w:rPr>
          <w:rFonts w:eastAsiaTheme="minorEastAsia"/>
          <w:color w:val="000000" w:themeColor="text1"/>
        </w:rPr>
        <w:t xml:space="preserve">JFA Purple Orange has had a longstanding interest in public transport in South Australia and has regularly engaged with the disability community on this topic over many years. </w:t>
      </w:r>
      <w:r w:rsidR="001F4727">
        <w:rPr>
          <w:rFonts w:eastAsiaTheme="minorEastAsia"/>
          <w:color w:val="000000" w:themeColor="text1"/>
        </w:rPr>
        <w:t>In</w:t>
      </w:r>
      <w:r w:rsidR="00345049" w:rsidRPr="5F5A6EB0">
        <w:rPr>
          <w:rFonts w:eastAsiaTheme="minorEastAsia"/>
          <w:color w:val="000000" w:themeColor="text1"/>
        </w:rPr>
        <w:t xml:space="preserve"> August 2019 and July 2022, we conducted transport surveys to understand how people living with disability use public transport services, the improvements that have occurred over time, and the barriers that continue to be present. Although survey respondents indicated there have been improvements since 2002, our July 2022 survey revealed that only 11 per cent of respondents rated the current accessibility levels of public transport as good or very good. This compares to 41 per cent who rated it as adequate, 38 per cent as poor, and 10 per cent as very poor.</w:t>
      </w:r>
    </w:p>
    <w:p w14:paraId="6497F665" w14:textId="3AFDA2AE" w:rsidR="00B80845" w:rsidRDefault="00577E33" w:rsidP="077C32D5">
      <w:pPr>
        <w:spacing w:after="160"/>
        <w:jc w:val="both"/>
        <w:rPr>
          <w:rFonts w:eastAsiaTheme="minorEastAsia"/>
          <w:color w:val="000000" w:themeColor="text1"/>
        </w:rPr>
      </w:pPr>
      <w:r w:rsidRPr="077C32D5">
        <w:rPr>
          <w:rFonts w:eastAsiaTheme="minorEastAsia"/>
          <w:color w:val="000000" w:themeColor="text1"/>
        </w:rPr>
        <w:t xml:space="preserve">We believe the GARP must highlight the </w:t>
      </w:r>
      <w:r w:rsidR="005D4FC8" w:rsidRPr="077C32D5">
        <w:rPr>
          <w:rFonts w:eastAsiaTheme="minorEastAsia"/>
          <w:color w:val="000000" w:themeColor="text1"/>
        </w:rPr>
        <w:t xml:space="preserve">inadequate rate of </w:t>
      </w:r>
      <w:r w:rsidR="001F4D45" w:rsidRPr="077C32D5">
        <w:rPr>
          <w:rFonts w:eastAsiaTheme="minorEastAsia"/>
          <w:color w:val="000000" w:themeColor="text1"/>
        </w:rPr>
        <w:t>progress</w:t>
      </w:r>
      <w:r w:rsidR="005D4FC8" w:rsidRPr="077C32D5">
        <w:rPr>
          <w:rFonts w:eastAsiaTheme="minorEastAsia"/>
          <w:color w:val="000000" w:themeColor="text1"/>
        </w:rPr>
        <w:t xml:space="preserve"> in </w:t>
      </w:r>
      <w:r w:rsidR="001F4D45" w:rsidRPr="077C32D5">
        <w:rPr>
          <w:rFonts w:eastAsiaTheme="minorEastAsia"/>
          <w:color w:val="000000" w:themeColor="text1"/>
        </w:rPr>
        <w:t xml:space="preserve">achieving </w:t>
      </w:r>
      <w:r w:rsidR="005D4FC8" w:rsidRPr="077C32D5">
        <w:rPr>
          <w:rFonts w:eastAsiaTheme="minorEastAsia"/>
          <w:color w:val="000000" w:themeColor="text1"/>
        </w:rPr>
        <w:t xml:space="preserve">accessibility of public transport, particularly in relation to lowering reliance on private vehicles. </w:t>
      </w:r>
      <w:r w:rsidR="001F4D45" w:rsidRPr="077C32D5">
        <w:rPr>
          <w:rFonts w:eastAsiaTheme="minorEastAsia"/>
          <w:color w:val="000000" w:themeColor="text1"/>
        </w:rPr>
        <w:t xml:space="preserve">It should </w:t>
      </w:r>
      <w:r w:rsidR="00B80845" w:rsidRPr="077C32D5">
        <w:rPr>
          <w:rFonts w:eastAsiaTheme="minorEastAsia"/>
          <w:color w:val="000000" w:themeColor="text1"/>
        </w:rPr>
        <w:t>commit governments to much-needed investment and genuine accountability and reporting mechanisms</w:t>
      </w:r>
      <w:r w:rsidR="002044F3" w:rsidRPr="077C32D5">
        <w:rPr>
          <w:rFonts w:eastAsiaTheme="minorEastAsia"/>
          <w:color w:val="000000" w:themeColor="text1"/>
        </w:rPr>
        <w:t xml:space="preserve"> to ensure commitments and obligations are fulfilled</w:t>
      </w:r>
      <w:r w:rsidR="00B80845" w:rsidRPr="077C32D5">
        <w:rPr>
          <w:rFonts w:eastAsiaTheme="minorEastAsia"/>
          <w:color w:val="000000" w:themeColor="text1"/>
        </w:rPr>
        <w:t xml:space="preserve">. </w:t>
      </w:r>
      <w:r w:rsidR="0051302D" w:rsidRPr="077C32D5">
        <w:rPr>
          <w:rFonts w:eastAsiaTheme="minorEastAsia"/>
          <w:color w:val="000000" w:themeColor="text1"/>
        </w:rPr>
        <w:t>Further, w</w:t>
      </w:r>
      <w:r w:rsidR="00B80845" w:rsidRPr="077C32D5">
        <w:rPr>
          <w:rFonts w:eastAsiaTheme="minorEastAsia"/>
          <w:color w:val="000000" w:themeColor="text1"/>
        </w:rPr>
        <w:t xml:space="preserve">e urge the Commission to undertake a comprehensive audit of shortcomings of all relevant transport options and infrastructure across </w:t>
      </w:r>
      <w:r w:rsidR="0051302D" w:rsidRPr="077C32D5">
        <w:rPr>
          <w:rFonts w:eastAsiaTheme="minorEastAsia"/>
          <w:color w:val="000000" w:themeColor="text1"/>
        </w:rPr>
        <w:t>the Greater Adelaide region as part of the process to develop the GARP</w:t>
      </w:r>
      <w:r w:rsidR="000910DC" w:rsidRPr="077C32D5">
        <w:rPr>
          <w:rFonts w:eastAsiaTheme="minorEastAsia"/>
          <w:color w:val="000000" w:themeColor="text1"/>
        </w:rPr>
        <w:t xml:space="preserve">. </w:t>
      </w:r>
      <w:proofErr w:type="gramStart"/>
      <w:r w:rsidR="000910DC" w:rsidRPr="077C32D5">
        <w:rPr>
          <w:rFonts w:eastAsiaTheme="minorEastAsia"/>
          <w:color w:val="000000" w:themeColor="text1"/>
        </w:rPr>
        <w:t>In particular</w:t>
      </w:r>
      <w:r w:rsidR="00B80845" w:rsidRPr="077C32D5">
        <w:rPr>
          <w:rFonts w:eastAsiaTheme="minorEastAsia"/>
          <w:color w:val="000000" w:themeColor="text1"/>
        </w:rPr>
        <w:t xml:space="preserve">, </w:t>
      </w:r>
      <w:r w:rsidR="000910DC" w:rsidRPr="077C32D5">
        <w:rPr>
          <w:rFonts w:eastAsiaTheme="minorEastAsia"/>
          <w:color w:val="000000" w:themeColor="text1"/>
        </w:rPr>
        <w:t>this</w:t>
      </w:r>
      <w:proofErr w:type="gramEnd"/>
      <w:r w:rsidR="000910DC" w:rsidRPr="077C32D5">
        <w:rPr>
          <w:rFonts w:eastAsiaTheme="minorEastAsia"/>
          <w:color w:val="000000" w:themeColor="text1"/>
        </w:rPr>
        <w:t xml:space="preserve"> audit should </w:t>
      </w:r>
      <w:r w:rsidR="00B80845" w:rsidRPr="077C32D5">
        <w:rPr>
          <w:rFonts w:eastAsiaTheme="minorEastAsia"/>
          <w:color w:val="000000" w:themeColor="text1"/>
        </w:rPr>
        <w:t>utilis</w:t>
      </w:r>
      <w:r w:rsidR="000910DC" w:rsidRPr="077C32D5">
        <w:rPr>
          <w:rFonts w:eastAsiaTheme="minorEastAsia"/>
          <w:color w:val="000000" w:themeColor="text1"/>
        </w:rPr>
        <w:t>e</w:t>
      </w:r>
      <w:r w:rsidR="00B80845" w:rsidRPr="077C32D5">
        <w:rPr>
          <w:rFonts w:eastAsiaTheme="minorEastAsia"/>
          <w:color w:val="000000" w:themeColor="text1"/>
        </w:rPr>
        <w:t xml:space="preserve"> the expertise of people living with disability who use this infrastructure. This will </w:t>
      </w:r>
      <w:r w:rsidR="00BD01EF" w:rsidRPr="077C32D5">
        <w:rPr>
          <w:rFonts w:eastAsiaTheme="minorEastAsia"/>
          <w:color w:val="000000" w:themeColor="text1"/>
        </w:rPr>
        <w:t xml:space="preserve">not only help drive </w:t>
      </w:r>
      <w:proofErr w:type="gramStart"/>
      <w:r w:rsidR="00BD01EF" w:rsidRPr="077C32D5">
        <w:rPr>
          <w:rFonts w:eastAsiaTheme="minorEastAsia"/>
          <w:color w:val="000000" w:themeColor="text1"/>
        </w:rPr>
        <w:t>change, but</w:t>
      </w:r>
      <w:proofErr w:type="gramEnd"/>
      <w:r w:rsidR="00BD01EF" w:rsidRPr="077C32D5">
        <w:rPr>
          <w:rFonts w:eastAsiaTheme="minorEastAsia"/>
          <w:color w:val="000000" w:themeColor="text1"/>
        </w:rPr>
        <w:t xml:space="preserve"> </w:t>
      </w:r>
      <w:r w:rsidR="65F9229C" w:rsidRPr="077C32D5">
        <w:rPr>
          <w:rFonts w:eastAsiaTheme="minorEastAsia"/>
          <w:color w:val="000000" w:themeColor="text1"/>
        </w:rPr>
        <w:t xml:space="preserve">also </w:t>
      </w:r>
      <w:r w:rsidR="00B80845" w:rsidRPr="077C32D5">
        <w:rPr>
          <w:rFonts w:eastAsiaTheme="minorEastAsia"/>
          <w:color w:val="000000" w:themeColor="text1"/>
        </w:rPr>
        <w:t>set an important baseline against which outcomes from GARP can be measured in the years to come. This will be an essential element of ensuring that the new GARP succeeds where current approach</w:t>
      </w:r>
      <w:r w:rsidR="000910DC" w:rsidRPr="077C32D5">
        <w:rPr>
          <w:rFonts w:eastAsiaTheme="minorEastAsia"/>
          <w:color w:val="000000" w:themeColor="text1"/>
        </w:rPr>
        <w:t>es</w:t>
      </w:r>
      <w:r w:rsidR="00B80845" w:rsidRPr="077C32D5">
        <w:rPr>
          <w:rFonts w:eastAsiaTheme="minorEastAsia"/>
          <w:color w:val="000000" w:themeColor="text1"/>
        </w:rPr>
        <w:t xml:space="preserve"> </w:t>
      </w:r>
      <w:r w:rsidR="000910DC" w:rsidRPr="077C32D5">
        <w:rPr>
          <w:rFonts w:eastAsiaTheme="minorEastAsia"/>
          <w:color w:val="000000" w:themeColor="text1"/>
        </w:rPr>
        <w:t>are</w:t>
      </w:r>
      <w:r w:rsidR="00B80845" w:rsidRPr="077C32D5">
        <w:rPr>
          <w:rFonts w:eastAsiaTheme="minorEastAsia"/>
          <w:color w:val="000000" w:themeColor="text1"/>
        </w:rPr>
        <w:t xml:space="preserve"> fail</w:t>
      </w:r>
      <w:r w:rsidR="000910DC" w:rsidRPr="077C32D5">
        <w:rPr>
          <w:rFonts w:eastAsiaTheme="minorEastAsia"/>
          <w:color w:val="000000" w:themeColor="text1"/>
        </w:rPr>
        <w:t>ing</w:t>
      </w:r>
      <w:r w:rsidR="00B80845" w:rsidRPr="077C32D5">
        <w:rPr>
          <w:rFonts w:eastAsiaTheme="minorEastAsia"/>
          <w:color w:val="000000" w:themeColor="text1"/>
        </w:rPr>
        <w:t>.</w:t>
      </w:r>
    </w:p>
    <w:p w14:paraId="245F66BE" w14:textId="36E2A5FB" w:rsidR="000910DC" w:rsidRDefault="00B60AFC" w:rsidP="00B80845">
      <w:pPr>
        <w:spacing w:after="160"/>
        <w:jc w:val="both"/>
        <w:rPr>
          <w:rFonts w:eastAsiaTheme="minorEastAsia"/>
          <w:color w:val="000000" w:themeColor="text1"/>
        </w:rPr>
      </w:pPr>
      <w:bookmarkStart w:id="39" w:name="_Hlk150179718"/>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24</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include outcomes and measurable targets </w:t>
      </w:r>
      <w:r w:rsidR="0036019E">
        <w:rPr>
          <w:rFonts w:ascii="Calibri" w:eastAsia="Calibri" w:hAnsi="Calibri" w:cs="Calibri"/>
          <w:b/>
          <w:bCs/>
          <w:color w:val="000000" w:themeColor="text1"/>
        </w:rPr>
        <w:t xml:space="preserve">for the accessibility of public transport </w:t>
      </w:r>
      <w:r w:rsidR="00584F73">
        <w:rPr>
          <w:rFonts w:ascii="Calibri" w:eastAsia="Calibri" w:hAnsi="Calibri" w:cs="Calibri"/>
          <w:b/>
          <w:bCs/>
          <w:color w:val="000000" w:themeColor="text1"/>
        </w:rPr>
        <w:t>services</w:t>
      </w:r>
      <w:r w:rsidR="00C304C1">
        <w:rPr>
          <w:rFonts w:ascii="Calibri" w:eastAsia="Calibri" w:hAnsi="Calibri" w:cs="Calibri"/>
          <w:b/>
          <w:bCs/>
          <w:color w:val="000000" w:themeColor="text1"/>
        </w:rPr>
        <w:t xml:space="preserve"> and</w:t>
      </w:r>
      <w:r w:rsidR="00584F73">
        <w:rPr>
          <w:rFonts w:ascii="Calibri" w:eastAsia="Calibri" w:hAnsi="Calibri" w:cs="Calibri"/>
          <w:b/>
          <w:bCs/>
          <w:color w:val="000000" w:themeColor="text1"/>
        </w:rPr>
        <w:t xml:space="preserve"> </w:t>
      </w:r>
      <w:r w:rsidR="00504469">
        <w:rPr>
          <w:rFonts w:ascii="Calibri" w:eastAsia="Calibri" w:hAnsi="Calibri" w:cs="Calibri"/>
          <w:b/>
          <w:bCs/>
          <w:color w:val="000000" w:themeColor="text1"/>
        </w:rPr>
        <w:t xml:space="preserve">infrastructure </w:t>
      </w:r>
      <w:r w:rsidR="00504469">
        <w:rPr>
          <w:rFonts w:ascii="Calibri" w:eastAsia="Calibri" w:hAnsi="Calibri" w:cs="Calibri"/>
          <w:b/>
          <w:bCs/>
          <w:color w:val="000000" w:themeColor="text1"/>
        </w:rPr>
        <w:lastRenderedPageBreak/>
        <w:t>across Greater Adelaide</w:t>
      </w:r>
      <w:r>
        <w:rPr>
          <w:rFonts w:ascii="Calibri" w:eastAsia="Calibri" w:hAnsi="Calibri" w:cs="Calibri"/>
          <w:b/>
          <w:bCs/>
          <w:color w:val="000000" w:themeColor="text1"/>
        </w:rPr>
        <w:t>.</w:t>
      </w:r>
      <w:r w:rsidR="00504469">
        <w:rPr>
          <w:rFonts w:ascii="Calibri" w:eastAsia="Calibri" w:hAnsi="Calibri" w:cs="Calibri"/>
          <w:b/>
          <w:bCs/>
          <w:color w:val="000000" w:themeColor="text1"/>
        </w:rPr>
        <w:t xml:space="preserve"> It should also identify priority actions </w:t>
      </w:r>
      <w:r w:rsidR="004A3553">
        <w:rPr>
          <w:rFonts w:ascii="Calibri" w:eastAsia="Calibri" w:hAnsi="Calibri" w:cs="Calibri"/>
          <w:b/>
          <w:bCs/>
          <w:color w:val="000000" w:themeColor="text1"/>
        </w:rPr>
        <w:t>to fix existing gaps through a comprehensive audit</w:t>
      </w:r>
      <w:r w:rsidR="00584F73">
        <w:rPr>
          <w:rFonts w:ascii="Calibri" w:eastAsia="Calibri" w:hAnsi="Calibri" w:cs="Calibri"/>
          <w:b/>
          <w:bCs/>
          <w:color w:val="000000" w:themeColor="text1"/>
        </w:rPr>
        <w:t xml:space="preserve"> that sets a baseline for progress</w:t>
      </w:r>
      <w:r w:rsidR="004A3553">
        <w:rPr>
          <w:rFonts w:ascii="Calibri" w:eastAsia="Calibri" w:hAnsi="Calibri" w:cs="Calibri"/>
          <w:b/>
          <w:bCs/>
          <w:color w:val="000000" w:themeColor="text1"/>
        </w:rPr>
        <w:t>.</w:t>
      </w:r>
    </w:p>
    <w:bookmarkEnd w:id="39"/>
    <w:p w14:paraId="1427C073" w14:textId="77777777" w:rsidR="00B80845" w:rsidRDefault="00B80845" w:rsidP="005E4064">
      <w:pPr>
        <w:spacing w:after="160"/>
        <w:rPr>
          <w:rFonts w:ascii="Calibri" w:eastAsia="Calibri" w:hAnsi="Calibri" w:cs="Calibri"/>
          <w:color w:val="000000" w:themeColor="text1"/>
        </w:rPr>
      </w:pPr>
    </w:p>
    <w:p w14:paraId="18948532" w14:textId="0F0B9EC6" w:rsidR="00EB6871" w:rsidRDefault="00EB6871" w:rsidP="00EB6871">
      <w:pPr>
        <w:pStyle w:val="Heading3"/>
        <w:spacing w:after="160" w:line="360" w:lineRule="auto"/>
        <w:ind w:hanging="851"/>
      </w:pPr>
      <w:bookmarkStart w:id="40" w:name="_Toc150180131"/>
      <w:r>
        <w:t>Education infrastructure</w:t>
      </w:r>
      <w:bookmarkEnd w:id="40"/>
    </w:p>
    <w:p w14:paraId="0CF06176" w14:textId="639E6284" w:rsidR="740C8128" w:rsidRDefault="740C8128" w:rsidP="005E4064">
      <w:pPr>
        <w:spacing w:after="160"/>
        <w:rPr>
          <w:rFonts w:ascii="Calibri" w:eastAsia="Calibri" w:hAnsi="Calibri" w:cs="Calibri"/>
          <w:color w:val="000000" w:themeColor="text1"/>
        </w:rPr>
      </w:pPr>
      <w:r w:rsidRPr="5F5A6EB0">
        <w:rPr>
          <w:rFonts w:ascii="Calibri" w:eastAsia="Calibri" w:hAnsi="Calibri" w:cs="Calibri"/>
          <w:color w:val="000000" w:themeColor="text1"/>
        </w:rPr>
        <w:t xml:space="preserve">All South Australian children should have the option of attending their local school with the assurance of being welcomed, supported, and included, and thereby receiving a high-quality </w:t>
      </w:r>
      <w:r w:rsidR="00BD01EF">
        <w:rPr>
          <w:rFonts w:ascii="Calibri" w:eastAsia="Calibri" w:hAnsi="Calibri" w:cs="Calibri"/>
          <w:color w:val="000000" w:themeColor="text1"/>
        </w:rPr>
        <w:t>I</w:t>
      </w:r>
      <w:r w:rsidRPr="5F5A6EB0">
        <w:rPr>
          <w:rFonts w:ascii="Calibri" w:eastAsia="Calibri" w:hAnsi="Calibri" w:cs="Calibri"/>
          <w:color w:val="000000" w:themeColor="text1"/>
        </w:rPr>
        <w:t xml:space="preserve">nclusive </w:t>
      </w:r>
      <w:r w:rsidR="00BD01EF">
        <w:rPr>
          <w:rFonts w:ascii="Calibri" w:eastAsia="Calibri" w:hAnsi="Calibri" w:cs="Calibri"/>
          <w:color w:val="000000" w:themeColor="text1"/>
        </w:rPr>
        <w:t>E</w:t>
      </w:r>
      <w:r w:rsidRPr="5F5A6EB0">
        <w:rPr>
          <w:rFonts w:ascii="Calibri" w:eastAsia="Calibri" w:hAnsi="Calibri" w:cs="Calibri"/>
          <w:color w:val="000000" w:themeColor="text1"/>
        </w:rPr>
        <w:t>ducation.</w:t>
      </w:r>
      <w:r w:rsidRPr="5F5A6EB0">
        <w:rPr>
          <w:rFonts w:ascii="Calibri" w:eastAsia="Calibri" w:hAnsi="Calibri" w:cs="Calibri"/>
          <w:b/>
          <w:bCs/>
          <w:color w:val="000000" w:themeColor="text1"/>
        </w:rPr>
        <w:t xml:space="preserve"> </w:t>
      </w:r>
      <w:r w:rsidRPr="5F5A6EB0">
        <w:rPr>
          <w:rFonts w:ascii="Calibri" w:eastAsia="Calibri" w:hAnsi="Calibri" w:cs="Calibri"/>
          <w:color w:val="000000" w:themeColor="text1"/>
        </w:rPr>
        <w:t>Sadly, for too many children and young people living with disability in South Australia, this is not the case. Yet, decades of research and evidence</w:t>
      </w:r>
      <w:r w:rsidRPr="5F5A6EB0">
        <w:rPr>
          <w:rStyle w:val="FootnoteReference"/>
          <w:rFonts w:ascii="Calibri" w:eastAsia="Calibri" w:hAnsi="Calibri" w:cs="Calibri"/>
          <w:color w:val="000000" w:themeColor="text1"/>
        </w:rPr>
        <w:footnoteReference w:id="21"/>
      </w:r>
      <w:r w:rsidRPr="5F5A6EB0">
        <w:rPr>
          <w:rFonts w:ascii="Calibri" w:eastAsia="Calibri" w:hAnsi="Calibri" w:cs="Calibri"/>
          <w:color w:val="000000" w:themeColor="text1"/>
        </w:rPr>
        <w:t xml:space="preserve"> tells us that </w:t>
      </w:r>
      <w:r w:rsidR="00BD01EF">
        <w:rPr>
          <w:rFonts w:ascii="Calibri" w:eastAsia="Calibri" w:hAnsi="Calibri" w:cs="Calibri"/>
          <w:color w:val="000000" w:themeColor="text1"/>
        </w:rPr>
        <w:t>I</w:t>
      </w:r>
      <w:r w:rsidRPr="5F5A6EB0">
        <w:rPr>
          <w:rFonts w:ascii="Calibri" w:eastAsia="Calibri" w:hAnsi="Calibri" w:cs="Calibri"/>
          <w:color w:val="000000" w:themeColor="text1"/>
        </w:rPr>
        <w:t xml:space="preserve">nclusive </w:t>
      </w:r>
      <w:r w:rsidR="00BD01EF">
        <w:rPr>
          <w:rFonts w:ascii="Calibri" w:eastAsia="Calibri" w:hAnsi="Calibri" w:cs="Calibri"/>
          <w:color w:val="000000" w:themeColor="text1"/>
        </w:rPr>
        <w:t>E</w:t>
      </w:r>
      <w:r w:rsidRPr="5F5A6EB0">
        <w:rPr>
          <w:rFonts w:ascii="Calibri" w:eastAsia="Calibri" w:hAnsi="Calibri" w:cs="Calibri"/>
          <w:color w:val="000000" w:themeColor="text1"/>
        </w:rPr>
        <w:t xml:space="preserve">ducation best prepares students living with disability for life and success. Research also demonstrates that </w:t>
      </w:r>
      <w:r w:rsidR="00490178">
        <w:rPr>
          <w:rFonts w:ascii="Calibri" w:eastAsia="Calibri" w:hAnsi="Calibri" w:cs="Calibri"/>
          <w:color w:val="000000" w:themeColor="text1"/>
        </w:rPr>
        <w:t xml:space="preserve">non-disabled </w:t>
      </w:r>
      <w:r w:rsidRPr="5F5A6EB0">
        <w:rPr>
          <w:rFonts w:ascii="Calibri" w:eastAsia="Calibri" w:hAnsi="Calibri" w:cs="Calibri"/>
          <w:color w:val="000000" w:themeColor="text1"/>
        </w:rPr>
        <w:t>students</w:t>
      </w:r>
      <w:r w:rsidR="009F4D71">
        <w:rPr>
          <w:rFonts w:ascii="Calibri" w:eastAsia="Calibri" w:hAnsi="Calibri" w:cs="Calibri"/>
          <w:color w:val="000000" w:themeColor="text1"/>
        </w:rPr>
        <w:t xml:space="preserve"> </w:t>
      </w:r>
      <w:r w:rsidR="00B76552">
        <w:rPr>
          <w:rFonts w:ascii="Calibri" w:eastAsia="Calibri" w:hAnsi="Calibri" w:cs="Calibri"/>
          <w:color w:val="000000" w:themeColor="text1"/>
        </w:rPr>
        <w:t xml:space="preserve">greatly </w:t>
      </w:r>
      <w:r w:rsidRPr="5F5A6EB0">
        <w:rPr>
          <w:rFonts w:ascii="Calibri" w:eastAsia="Calibri" w:hAnsi="Calibri" w:cs="Calibri"/>
          <w:color w:val="000000" w:themeColor="text1"/>
        </w:rPr>
        <w:t xml:space="preserve">benefit from </w:t>
      </w:r>
      <w:r w:rsidR="00BD01EF">
        <w:rPr>
          <w:rFonts w:ascii="Calibri" w:eastAsia="Calibri" w:hAnsi="Calibri" w:cs="Calibri"/>
          <w:color w:val="000000" w:themeColor="text1"/>
        </w:rPr>
        <w:t>I</w:t>
      </w:r>
      <w:r w:rsidRPr="5F5A6EB0">
        <w:rPr>
          <w:rFonts w:ascii="Calibri" w:eastAsia="Calibri" w:hAnsi="Calibri" w:cs="Calibri"/>
          <w:color w:val="000000" w:themeColor="text1"/>
        </w:rPr>
        <w:t xml:space="preserve">nclusive </w:t>
      </w:r>
      <w:r w:rsidR="00BD01EF">
        <w:rPr>
          <w:rFonts w:ascii="Calibri" w:eastAsia="Calibri" w:hAnsi="Calibri" w:cs="Calibri"/>
          <w:color w:val="000000" w:themeColor="text1"/>
        </w:rPr>
        <w:t>E</w:t>
      </w:r>
      <w:r w:rsidRPr="5F5A6EB0">
        <w:rPr>
          <w:rFonts w:ascii="Calibri" w:eastAsia="Calibri" w:hAnsi="Calibri" w:cs="Calibri"/>
          <w:color w:val="000000" w:themeColor="text1"/>
        </w:rPr>
        <w:t>ducation. These benefits include a more positive sense of self, enhanced communication and language development, increased awareness of diversity, and a higher quality education that is better suited to individual needs.</w:t>
      </w:r>
      <w:r w:rsidR="00C66212">
        <w:rPr>
          <w:rFonts w:ascii="Calibri" w:eastAsia="Calibri" w:hAnsi="Calibri" w:cs="Calibri"/>
          <w:color w:val="000000" w:themeColor="text1"/>
        </w:rPr>
        <w:t xml:space="preserve"> </w:t>
      </w:r>
      <w:r w:rsidR="00C66212" w:rsidRPr="5F5A6EB0">
        <w:rPr>
          <w:rFonts w:ascii="Calibri" w:eastAsia="Calibri" w:hAnsi="Calibri" w:cs="Calibri"/>
          <w:color w:val="000000" w:themeColor="text1"/>
        </w:rPr>
        <w:t>An environment should be designed to meet the needs of all people who wish to use it; this is a fundamental condition of good design.</w:t>
      </w:r>
      <w:r w:rsidR="00C66212" w:rsidRPr="5F5A6EB0">
        <w:rPr>
          <w:rStyle w:val="FootnoteReference"/>
          <w:rFonts w:ascii="Calibri" w:eastAsia="Calibri" w:hAnsi="Calibri" w:cs="Calibri"/>
          <w:color w:val="000000" w:themeColor="text1"/>
        </w:rPr>
        <w:footnoteReference w:id="22"/>
      </w:r>
      <w:r w:rsidR="00C66212" w:rsidRPr="5F5A6EB0">
        <w:rPr>
          <w:rFonts w:ascii="Calibri" w:eastAsia="Calibri" w:hAnsi="Calibri" w:cs="Calibri"/>
          <w:color w:val="000000" w:themeColor="text1"/>
        </w:rPr>
        <w:t xml:space="preserve"> </w:t>
      </w:r>
      <w:r w:rsidR="00427AAC" w:rsidRPr="5F5A6EB0">
        <w:rPr>
          <w:rFonts w:ascii="Calibri" w:eastAsia="Calibri" w:hAnsi="Calibri" w:cs="Calibri"/>
          <w:color w:val="000000" w:themeColor="text1"/>
        </w:rPr>
        <w:t xml:space="preserve">When a building is accessible it allows everyone the ability to access and use it. </w:t>
      </w:r>
      <w:r w:rsidR="00C66212" w:rsidRPr="5F5A6EB0">
        <w:rPr>
          <w:rFonts w:ascii="Calibri" w:eastAsia="Calibri" w:hAnsi="Calibri" w:cs="Calibri"/>
          <w:color w:val="000000" w:themeColor="text1"/>
        </w:rPr>
        <w:t>Young people living with disability have a right to an education in the same way that other students do, and this right is supported if facilities are designed, planned, and built to give the best access, participation, and learning.</w:t>
      </w:r>
      <w:r w:rsidR="00C66212" w:rsidRPr="5F5A6EB0">
        <w:rPr>
          <w:rStyle w:val="FootnoteReference"/>
          <w:rFonts w:ascii="Calibri" w:eastAsia="Calibri" w:hAnsi="Calibri" w:cs="Calibri"/>
        </w:rPr>
        <w:footnoteReference w:id="23"/>
      </w:r>
    </w:p>
    <w:p w14:paraId="724A5722" w14:textId="2CA0D42F" w:rsidR="6A32981E" w:rsidRDefault="00B33BFB" w:rsidP="005E4064">
      <w:pPr>
        <w:spacing w:after="160"/>
        <w:rPr>
          <w:rFonts w:ascii="Calibri" w:eastAsia="Calibri" w:hAnsi="Calibri" w:cs="Calibri"/>
          <w:color w:val="000000" w:themeColor="text1"/>
        </w:rPr>
      </w:pPr>
      <w:r>
        <w:rPr>
          <w:rFonts w:ascii="Calibri" w:eastAsia="Calibri" w:hAnsi="Calibri" w:cs="Calibri"/>
          <w:color w:val="000000" w:themeColor="text1"/>
        </w:rPr>
        <w:t xml:space="preserve">It is </w:t>
      </w:r>
      <w:r w:rsidR="00E56102">
        <w:rPr>
          <w:rFonts w:ascii="Calibri" w:eastAsia="Calibri" w:hAnsi="Calibri" w:cs="Calibri"/>
          <w:color w:val="000000" w:themeColor="text1"/>
        </w:rPr>
        <w:t xml:space="preserve">extremely concerning that new schools to </w:t>
      </w:r>
      <w:r w:rsidR="00573E20">
        <w:rPr>
          <w:rFonts w:ascii="Calibri" w:eastAsia="Calibri" w:hAnsi="Calibri" w:cs="Calibri"/>
          <w:color w:val="000000" w:themeColor="text1"/>
        </w:rPr>
        <w:t xml:space="preserve">support </w:t>
      </w:r>
      <w:r w:rsidR="005C13E5">
        <w:rPr>
          <w:rFonts w:ascii="Calibri" w:eastAsia="Calibri" w:hAnsi="Calibri" w:cs="Calibri"/>
          <w:color w:val="000000" w:themeColor="text1"/>
        </w:rPr>
        <w:t xml:space="preserve">areas of </w:t>
      </w:r>
      <w:r w:rsidR="00573E20">
        <w:rPr>
          <w:rFonts w:ascii="Calibri" w:eastAsia="Calibri" w:hAnsi="Calibri" w:cs="Calibri"/>
          <w:color w:val="000000" w:themeColor="text1"/>
        </w:rPr>
        <w:t xml:space="preserve">population growth, such as those at Aldinga and Angle Vale, are being established with </w:t>
      </w:r>
      <w:r w:rsidR="005C13E5">
        <w:rPr>
          <w:rFonts w:ascii="Calibri" w:eastAsia="Calibri" w:hAnsi="Calibri" w:cs="Calibri"/>
          <w:color w:val="000000" w:themeColor="text1"/>
        </w:rPr>
        <w:t xml:space="preserve">separate </w:t>
      </w:r>
      <w:r w:rsidR="00573E20">
        <w:rPr>
          <w:rFonts w:ascii="Calibri" w:eastAsia="Calibri" w:hAnsi="Calibri" w:cs="Calibri"/>
          <w:color w:val="000000" w:themeColor="text1"/>
        </w:rPr>
        <w:t xml:space="preserve">Disability Units rather than </w:t>
      </w:r>
      <w:r w:rsidR="00417A92">
        <w:rPr>
          <w:rFonts w:ascii="Calibri" w:eastAsia="Calibri" w:hAnsi="Calibri" w:cs="Calibri"/>
          <w:color w:val="000000" w:themeColor="text1"/>
        </w:rPr>
        <w:t xml:space="preserve">implementing Inclusive Education models. </w:t>
      </w:r>
      <w:r w:rsidR="1E821FA8" w:rsidRPr="5F5A6EB0">
        <w:rPr>
          <w:rFonts w:ascii="Calibri" w:eastAsia="Calibri" w:hAnsi="Calibri" w:cs="Calibri"/>
          <w:color w:val="000000" w:themeColor="text1"/>
        </w:rPr>
        <w:t>All schools</w:t>
      </w:r>
      <w:r w:rsidR="000E6CD2">
        <w:rPr>
          <w:rFonts w:ascii="Calibri" w:eastAsia="Calibri" w:hAnsi="Calibri" w:cs="Calibri"/>
          <w:color w:val="000000" w:themeColor="text1"/>
        </w:rPr>
        <w:t>, especially new schools,</w:t>
      </w:r>
      <w:r w:rsidR="1E821FA8" w:rsidRPr="5F5A6EB0">
        <w:rPr>
          <w:rFonts w:ascii="Calibri" w:eastAsia="Calibri" w:hAnsi="Calibri" w:cs="Calibri"/>
          <w:color w:val="000000" w:themeColor="text1"/>
        </w:rPr>
        <w:t xml:space="preserve"> should be accessible </w:t>
      </w:r>
      <w:r w:rsidR="000E6CD2">
        <w:rPr>
          <w:rFonts w:ascii="Calibri" w:eastAsia="Calibri" w:hAnsi="Calibri" w:cs="Calibri"/>
          <w:color w:val="000000" w:themeColor="text1"/>
        </w:rPr>
        <w:t>and inclusive of</w:t>
      </w:r>
      <w:r w:rsidR="1E821FA8" w:rsidRPr="5F5A6EB0">
        <w:rPr>
          <w:rFonts w:ascii="Calibri" w:eastAsia="Calibri" w:hAnsi="Calibri" w:cs="Calibri"/>
          <w:color w:val="000000" w:themeColor="text1"/>
        </w:rPr>
        <w:t xml:space="preserve"> all people; this includes students</w:t>
      </w:r>
      <w:r w:rsidR="00BD01EF">
        <w:rPr>
          <w:rFonts w:ascii="Calibri" w:eastAsia="Calibri" w:hAnsi="Calibri" w:cs="Calibri"/>
          <w:color w:val="000000" w:themeColor="text1"/>
        </w:rPr>
        <w:t>,</w:t>
      </w:r>
      <w:r w:rsidR="1E821FA8" w:rsidRPr="5F5A6EB0">
        <w:rPr>
          <w:rFonts w:ascii="Calibri" w:eastAsia="Calibri" w:hAnsi="Calibri" w:cs="Calibri"/>
          <w:color w:val="000000" w:themeColor="text1"/>
        </w:rPr>
        <w:t xml:space="preserve"> their parents and supporters, and staff. </w:t>
      </w:r>
      <w:r w:rsidR="47E69C5F" w:rsidRPr="5F5A6EB0">
        <w:rPr>
          <w:rFonts w:ascii="Calibri" w:eastAsia="Calibri" w:hAnsi="Calibri" w:cs="Calibri"/>
          <w:color w:val="000000" w:themeColor="text1"/>
        </w:rPr>
        <w:t xml:space="preserve">The GARP needs to </w:t>
      </w:r>
      <w:r w:rsidR="004F7126">
        <w:rPr>
          <w:rFonts w:ascii="Calibri" w:eastAsia="Calibri" w:hAnsi="Calibri" w:cs="Calibri"/>
          <w:color w:val="000000" w:themeColor="text1"/>
        </w:rPr>
        <w:t>clearly state</w:t>
      </w:r>
      <w:r w:rsidR="47E69C5F" w:rsidRPr="5F5A6EB0">
        <w:rPr>
          <w:rFonts w:ascii="Calibri" w:eastAsia="Calibri" w:hAnsi="Calibri" w:cs="Calibri"/>
          <w:color w:val="000000" w:themeColor="text1"/>
        </w:rPr>
        <w:t xml:space="preserve"> that new special education provision</w:t>
      </w:r>
      <w:r w:rsidR="004F7126">
        <w:rPr>
          <w:rFonts w:ascii="Calibri" w:eastAsia="Calibri" w:hAnsi="Calibri" w:cs="Calibri"/>
          <w:color w:val="000000" w:themeColor="text1"/>
        </w:rPr>
        <w:t>s</w:t>
      </w:r>
      <w:r w:rsidR="47E69C5F" w:rsidRPr="5F5A6EB0">
        <w:rPr>
          <w:rFonts w:ascii="Calibri" w:eastAsia="Calibri" w:hAnsi="Calibri" w:cs="Calibri"/>
          <w:color w:val="000000" w:themeColor="text1"/>
        </w:rPr>
        <w:t xml:space="preserve"> should not be built</w:t>
      </w:r>
      <w:r w:rsidR="00BD01EF">
        <w:rPr>
          <w:rFonts w:ascii="Calibri" w:eastAsia="Calibri" w:hAnsi="Calibri" w:cs="Calibri"/>
          <w:color w:val="000000" w:themeColor="text1"/>
        </w:rPr>
        <w:t xml:space="preserve"> in the region</w:t>
      </w:r>
      <w:r w:rsidR="47E69C5F" w:rsidRPr="5F5A6EB0">
        <w:rPr>
          <w:rFonts w:ascii="Calibri" w:eastAsia="Calibri" w:hAnsi="Calibri" w:cs="Calibri"/>
          <w:color w:val="000000" w:themeColor="text1"/>
        </w:rPr>
        <w:t xml:space="preserve">. Otherwise, exclusionary habits will persist and will </w:t>
      </w:r>
      <w:r w:rsidR="004F7126">
        <w:rPr>
          <w:rFonts w:ascii="Calibri" w:eastAsia="Calibri" w:hAnsi="Calibri" w:cs="Calibri"/>
          <w:color w:val="000000" w:themeColor="text1"/>
        </w:rPr>
        <w:t>sustain</w:t>
      </w:r>
      <w:r w:rsidR="47E69C5F" w:rsidRPr="5F5A6EB0">
        <w:rPr>
          <w:rFonts w:ascii="Calibri" w:eastAsia="Calibri" w:hAnsi="Calibri" w:cs="Calibri"/>
          <w:color w:val="000000" w:themeColor="text1"/>
        </w:rPr>
        <w:t xml:space="preserve"> </w:t>
      </w:r>
      <w:r w:rsidR="47E69C5F" w:rsidRPr="5F5A6EB0">
        <w:rPr>
          <w:rFonts w:ascii="Calibri" w:eastAsia="Calibri" w:hAnsi="Calibri" w:cs="Calibri"/>
          <w:color w:val="000000" w:themeColor="text1"/>
        </w:rPr>
        <w:lastRenderedPageBreak/>
        <w:t>the demand for separate segregated provision.</w:t>
      </w:r>
      <w:r w:rsidR="628134E2" w:rsidRPr="5F5A6EB0">
        <w:rPr>
          <w:rFonts w:ascii="Calibri" w:eastAsia="Calibri" w:hAnsi="Calibri" w:cs="Calibri"/>
          <w:color w:val="000000" w:themeColor="text1"/>
        </w:rPr>
        <w:t xml:space="preserve"> Building an </w:t>
      </w:r>
      <w:r w:rsidR="00BD01EF">
        <w:rPr>
          <w:rFonts w:ascii="Calibri" w:eastAsia="Calibri" w:hAnsi="Calibri" w:cs="Calibri"/>
          <w:color w:val="000000" w:themeColor="text1"/>
        </w:rPr>
        <w:t>I</w:t>
      </w:r>
      <w:r w:rsidR="628134E2" w:rsidRPr="5F5A6EB0">
        <w:rPr>
          <w:rFonts w:ascii="Calibri" w:eastAsia="Calibri" w:hAnsi="Calibri" w:cs="Calibri"/>
          <w:color w:val="000000" w:themeColor="text1"/>
        </w:rPr>
        <w:t xml:space="preserve">nclusive </w:t>
      </w:r>
      <w:r w:rsidR="00BD01EF">
        <w:rPr>
          <w:rFonts w:ascii="Calibri" w:eastAsia="Calibri" w:hAnsi="Calibri" w:cs="Calibri"/>
          <w:color w:val="000000" w:themeColor="text1"/>
        </w:rPr>
        <w:t>E</w:t>
      </w:r>
      <w:r w:rsidR="628134E2" w:rsidRPr="5F5A6EB0">
        <w:rPr>
          <w:rFonts w:ascii="Calibri" w:eastAsia="Calibri" w:hAnsi="Calibri" w:cs="Calibri"/>
          <w:color w:val="000000" w:themeColor="text1"/>
        </w:rPr>
        <w:t xml:space="preserve">ducation system will not happen overnight but nor does it need to take a generation (as has been admirably demonstrated in other jurisdictions). </w:t>
      </w:r>
      <w:r w:rsidR="4EDD719C" w:rsidRPr="675D3168">
        <w:rPr>
          <w:rFonts w:ascii="Calibri" w:eastAsia="Calibri" w:hAnsi="Calibri" w:cs="Calibri"/>
          <w:color w:val="000000" w:themeColor="text1"/>
        </w:rPr>
        <w:t>The</w:t>
      </w:r>
      <w:r w:rsidR="628134E2" w:rsidRPr="5F5A6EB0">
        <w:rPr>
          <w:rFonts w:ascii="Calibri" w:eastAsia="Calibri" w:hAnsi="Calibri" w:cs="Calibri"/>
          <w:color w:val="000000" w:themeColor="text1"/>
        </w:rPr>
        <w:t xml:space="preserve"> GARP </w:t>
      </w:r>
      <w:r w:rsidR="4EDD719C" w:rsidRPr="675D3168">
        <w:rPr>
          <w:rFonts w:ascii="Calibri" w:eastAsia="Calibri" w:hAnsi="Calibri" w:cs="Calibri"/>
          <w:color w:val="000000" w:themeColor="text1"/>
        </w:rPr>
        <w:t>mus</w:t>
      </w:r>
      <w:r w:rsidR="628134E2" w:rsidRPr="675D3168">
        <w:rPr>
          <w:rFonts w:ascii="Calibri" w:eastAsia="Calibri" w:hAnsi="Calibri" w:cs="Calibri"/>
          <w:color w:val="000000" w:themeColor="text1"/>
        </w:rPr>
        <w:t>t</w:t>
      </w:r>
      <w:r w:rsidR="51D5FCE8" w:rsidRPr="675D3168">
        <w:rPr>
          <w:rFonts w:ascii="Calibri" w:eastAsia="Calibri" w:hAnsi="Calibri" w:cs="Calibri"/>
          <w:color w:val="000000" w:themeColor="text1"/>
        </w:rPr>
        <w:t xml:space="preserve"> commit</w:t>
      </w:r>
      <w:r w:rsidR="628134E2" w:rsidRPr="5F5A6EB0">
        <w:rPr>
          <w:rFonts w:ascii="Calibri" w:eastAsia="Calibri" w:hAnsi="Calibri" w:cs="Calibri"/>
          <w:color w:val="000000" w:themeColor="text1"/>
        </w:rPr>
        <w:t xml:space="preserve"> to the construction of education</w:t>
      </w:r>
      <w:r w:rsidR="5E851C4F" w:rsidRPr="5F5A6EB0">
        <w:rPr>
          <w:rFonts w:ascii="Calibri" w:eastAsia="Calibri" w:hAnsi="Calibri" w:cs="Calibri"/>
          <w:color w:val="000000" w:themeColor="text1"/>
        </w:rPr>
        <w:t xml:space="preserve"> infrastructure</w:t>
      </w:r>
      <w:r w:rsidR="00BD01EF">
        <w:rPr>
          <w:rFonts w:ascii="Calibri" w:eastAsia="Calibri" w:hAnsi="Calibri" w:cs="Calibri"/>
          <w:color w:val="000000" w:themeColor="text1"/>
        </w:rPr>
        <w:t xml:space="preserve"> </w:t>
      </w:r>
      <w:r w:rsidR="00792EC6">
        <w:rPr>
          <w:rFonts w:ascii="Calibri" w:eastAsia="Calibri" w:hAnsi="Calibri" w:cs="Calibri"/>
          <w:color w:val="000000" w:themeColor="text1"/>
        </w:rPr>
        <w:t>that</w:t>
      </w:r>
      <w:r w:rsidR="25A58370" w:rsidRPr="675D3168">
        <w:rPr>
          <w:rFonts w:ascii="Calibri" w:eastAsia="Calibri" w:hAnsi="Calibri" w:cs="Calibri"/>
          <w:color w:val="000000" w:themeColor="text1"/>
        </w:rPr>
        <w:t xml:space="preserve"> is</w:t>
      </w:r>
      <w:r w:rsidR="07AE2BA6" w:rsidRPr="675D3168">
        <w:rPr>
          <w:rFonts w:ascii="Calibri" w:eastAsia="Calibri" w:hAnsi="Calibri" w:cs="Calibri"/>
          <w:color w:val="000000" w:themeColor="text1"/>
        </w:rPr>
        <w:t xml:space="preserve"> accessible</w:t>
      </w:r>
      <w:r w:rsidR="357C06CF" w:rsidRPr="675D3168">
        <w:rPr>
          <w:rFonts w:ascii="Calibri" w:eastAsia="Calibri" w:hAnsi="Calibri" w:cs="Calibri"/>
          <w:color w:val="000000" w:themeColor="text1"/>
        </w:rPr>
        <w:t xml:space="preserve"> and inclusive</w:t>
      </w:r>
      <w:r w:rsidR="07AE2BA6" w:rsidRPr="675D3168">
        <w:rPr>
          <w:rFonts w:ascii="Calibri" w:eastAsia="Calibri" w:hAnsi="Calibri" w:cs="Calibri"/>
          <w:color w:val="000000" w:themeColor="text1"/>
        </w:rPr>
        <w:t>. C</w:t>
      </w:r>
      <w:r w:rsidR="628134E2" w:rsidRPr="675D3168">
        <w:rPr>
          <w:rFonts w:ascii="Calibri" w:eastAsia="Calibri" w:hAnsi="Calibri" w:cs="Calibri"/>
          <w:color w:val="000000" w:themeColor="text1"/>
        </w:rPr>
        <w:t>lear</w:t>
      </w:r>
      <w:r w:rsidR="628134E2" w:rsidRPr="5F5A6EB0">
        <w:rPr>
          <w:rFonts w:ascii="Calibri" w:eastAsia="Calibri" w:hAnsi="Calibri" w:cs="Calibri"/>
          <w:color w:val="000000" w:themeColor="text1"/>
        </w:rPr>
        <w:t xml:space="preserve"> timelines </w:t>
      </w:r>
      <w:r w:rsidR="2521514E" w:rsidRPr="675D3168">
        <w:rPr>
          <w:rFonts w:ascii="Calibri" w:eastAsia="Calibri" w:hAnsi="Calibri" w:cs="Calibri"/>
          <w:color w:val="000000" w:themeColor="text1"/>
        </w:rPr>
        <w:t>for the desegregation of schooling</w:t>
      </w:r>
      <w:r w:rsidR="628134E2" w:rsidRPr="675D3168">
        <w:rPr>
          <w:rFonts w:ascii="Calibri" w:eastAsia="Calibri" w:hAnsi="Calibri" w:cs="Calibri"/>
          <w:color w:val="000000" w:themeColor="text1"/>
        </w:rPr>
        <w:t xml:space="preserve"> </w:t>
      </w:r>
      <w:r w:rsidR="628134E2" w:rsidRPr="5F5A6EB0">
        <w:rPr>
          <w:rFonts w:ascii="Calibri" w:eastAsia="Calibri" w:hAnsi="Calibri" w:cs="Calibri"/>
          <w:color w:val="000000" w:themeColor="text1"/>
        </w:rPr>
        <w:t>must be made now to stem the waste of life chances experienced by young people living with disability.</w:t>
      </w:r>
    </w:p>
    <w:p w14:paraId="682B0EAE" w14:textId="16CF38F1" w:rsidR="00971E48" w:rsidRDefault="00B02775" w:rsidP="005E4064">
      <w:pPr>
        <w:spacing w:after="160"/>
        <w:rPr>
          <w:rFonts w:ascii="Calibri" w:eastAsia="Calibri" w:hAnsi="Calibri" w:cs="Calibri"/>
          <w:b/>
          <w:bCs/>
          <w:color w:val="000000" w:themeColor="text1"/>
        </w:rPr>
      </w:pPr>
      <w:bookmarkStart w:id="41" w:name="_Hlk150179726"/>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25</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w:t>
      </w:r>
      <w:r w:rsidR="008F2FC1">
        <w:rPr>
          <w:rFonts w:ascii="Calibri" w:eastAsia="Calibri" w:hAnsi="Calibri" w:cs="Calibri"/>
          <w:b/>
          <w:bCs/>
          <w:color w:val="000000" w:themeColor="text1"/>
        </w:rPr>
        <w:t xml:space="preserve">endorse the provision of </w:t>
      </w:r>
      <w:r w:rsidR="00BD01EF">
        <w:rPr>
          <w:rFonts w:ascii="Calibri" w:eastAsia="Calibri" w:hAnsi="Calibri" w:cs="Calibri"/>
          <w:b/>
          <w:bCs/>
          <w:color w:val="000000" w:themeColor="text1"/>
        </w:rPr>
        <w:t>I</w:t>
      </w:r>
      <w:r w:rsidR="008F2FC1">
        <w:rPr>
          <w:rFonts w:ascii="Calibri" w:eastAsia="Calibri" w:hAnsi="Calibri" w:cs="Calibri"/>
          <w:b/>
          <w:bCs/>
          <w:color w:val="000000" w:themeColor="text1"/>
        </w:rPr>
        <w:t xml:space="preserve">nclusive Education in all schools and </w:t>
      </w:r>
      <w:r w:rsidR="00165B95">
        <w:rPr>
          <w:rFonts w:ascii="Calibri" w:eastAsia="Calibri" w:hAnsi="Calibri" w:cs="Calibri"/>
          <w:b/>
          <w:bCs/>
          <w:color w:val="000000" w:themeColor="text1"/>
        </w:rPr>
        <w:t xml:space="preserve">specifically rule out the establishment of new segregated </w:t>
      </w:r>
      <w:r w:rsidR="00291F00">
        <w:rPr>
          <w:rFonts w:ascii="Calibri" w:eastAsia="Calibri" w:hAnsi="Calibri" w:cs="Calibri"/>
          <w:b/>
          <w:bCs/>
          <w:color w:val="000000" w:themeColor="text1"/>
        </w:rPr>
        <w:t xml:space="preserve">education </w:t>
      </w:r>
      <w:r w:rsidR="00165B95">
        <w:rPr>
          <w:rFonts w:ascii="Calibri" w:eastAsia="Calibri" w:hAnsi="Calibri" w:cs="Calibri"/>
          <w:b/>
          <w:bCs/>
          <w:color w:val="000000" w:themeColor="text1"/>
        </w:rPr>
        <w:t>provisions anywhere in the Greater Adelaide region</w:t>
      </w:r>
      <w:r w:rsidR="00291F00">
        <w:rPr>
          <w:rFonts w:ascii="Calibri" w:eastAsia="Calibri" w:hAnsi="Calibri" w:cs="Calibri"/>
          <w:b/>
          <w:bCs/>
          <w:color w:val="000000" w:themeColor="text1"/>
        </w:rPr>
        <w:t xml:space="preserve"> effective immediately</w:t>
      </w:r>
      <w:r w:rsidR="00165B95">
        <w:rPr>
          <w:rFonts w:ascii="Calibri" w:eastAsia="Calibri" w:hAnsi="Calibri" w:cs="Calibri"/>
          <w:b/>
          <w:bCs/>
          <w:color w:val="000000" w:themeColor="text1"/>
        </w:rPr>
        <w:t>.</w:t>
      </w:r>
      <w:r w:rsidR="00BD01EF">
        <w:rPr>
          <w:rFonts w:ascii="Calibri" w:eastAsia="Calibri" w:hAnsi="Calibri" w:cs="Calibri"/>
          <w:b/>
          <w:bCs/>
          <w:color w:val="000000" w:themeColor="text1"/>
        </w:rPr>
        <w:t xml:space="preserve"> This must preclude </w:t>
      </w:r>
      <w:r w:rsidR="009864BC">
        <w:rPr>
          <w:rFonts w:ascii="Calibri" w:eastAsia="Calibri" w:hAnsi="Calibri" w:cs="Calibri"/>
          <w:b/>
          <w:bCs/>
          <w:color w:val="000000" w:themeColor="text1"/>
        </w:rPr>
        <w:t xml:space="preserve">any </w:t>
      </w:r>
      <w:r w:rsidR="00BD01EF">
        <w:rPr>
          <w:rFonts w:ascii="Calibri" w:eastAsia="Calibri" w:hAnsi="Calibri" w:cs="Calibri"/>
          <w:b/>
          <w:bCs/>
          <w:color w:val="000000" w:themeColor="text1"/>
        </w:rPr>
        <w:t xml:space="preserve">new ‘special’ schools, units, programs, </w:t>
      </w:r>
      <w:r w:rsidR="009864BC">
        <w:rPr>
          <w:rFonts w:ascii="Calibri" w:eastAsia="Calibri" w:hAnsi="Calibri" w:cs="Calibri"/>
          <w:b/>
          <w:bCs/>
          <w:color w:val="000000" w:themeColor="text1"/>
        </w:rPr>
        <w:t xml:space="preserve">or </w:t>
      </w:r>
      <w:r w:rsidR="00BD01EF">
        <w:rPr>
          <w:rFonts w:ascii="Calibri" w:eastAsia="Calibri" w:hAnsi="Calibri" w:cs="Calibri"/>
          <w:b/>
          <w:bCs/>
          <w:color w:val="000000" w:themeColor="text1"/>
        </w:rPr>
        <w:t>similar.</w:t>
      </w:r>
    </w:p>
    <w:bookmarkEnd w:id="41"/>
    <w:p w14:paraId="1A4CFA30" w14:textId="77777777" w:rsidR="00551CC9" w:rsidRDefault="00551CC9" w:rsidP="005E4064">
      <w:pPr>
        <w:spacing w:after="160"/>
        <w:rPr>
          <w:rFonts w:ascii="Calibri" w:eastAsia="Calibri" w:hAnsi="Calibri" w:cs="Calibri"/>
          <w:b/>
          <w:bCs/>
          <w:color w:val="000000" w:themeColor="text1"/>
        </w:rPr>
      </w:pPr>
    </w:p>
    <w:p w14:paraId="2DA3F483" w14:textId="5A230135" w:rsidR="00551CC9" w:rsidRDefault="004D372E" w:rsidP="004D372E">
      <w:pPr>
        <w:pStyle w:val="Heading3"/>
        <w:spacing w:after="160" w:line="360" w:lineRule="auto"/>
        <w:ind w:hanging="851"/>
      </w:pPr>
      <w:bookmarkStart w:id="42" w:name="_Toc150180132"/>
      <w:r>
        <w:t>Health</w:t>
      </w:r>
      <w:r w:rsidR="00551CC9">
        <w:t xml:space="preserve"> infrastructure</w:t>
      </w:r>
      <w:bookmarkEnd w:id="42"/>
    </w:p>
    <w:p w14:paraId="32C3871A" w14:textId="4AD8C275" w:rsidR="00971E48" w:rsidRDefault="009864BC" w:rsidP="00971E48">
      <w:pPr>
        <w:spacing w:after="160"/>
        <w:jc w:val="both"/>
        <w:rPr>
          <w:rStyle w:val="Heading4Char"/>
          <w:rFonts w:ascii="Calibri" w:eastAsia="Calibri" w:hAnsi="Calibri" w:cs="Calibri"/>
          <w:b w:val="0"/>
          <w:color w:val="auto"/>
        </w:rPr>
      </w:pPr>
      <w:r>
        <w:rPr>
          <w:rStyle w:val="Heading4Char"/>
          <w:rFonts w:ascii="Calibri" w:eastAsia="Calibri" w:hAnsi="Calibri" w:cs="Calibri"/>
          <w:b w:val="0"/>
          <w:color w:val="auto"/>
        </w:rPr>
        <w:t xml:space="preserve">The </w:t>
      </w:r>
      <w:r w:rsidR="00971E48" w:rsidRPr="51FDD3D5">
        <w:rPr>
          <w:rStyle w:val="Heading4Char"/>
          <w:rFonts w:ascii="Calibri" w:eastAsia="Calibri" w:hAnsi="Calibri" w:cs="Calibri"/>
          <w:b w:val="0"/>
          <w:color w:val="auto"/>
        </w:rPr>
        <w:t>South Australian disability community has</w:t>
      </w:r>
      <w:r w:rsidR="00971E48" w:rsidRPr="527F51AE">
        <w:rPr>
          <w:rStyle w:val="Heading4Char"/>
          <w:rFonts w:ascii="Calibri" w:eastAsia="Calibri" w:hAnsi="Calibri" w:cs="Calibri"/>
          <w:b w:val="0"/>
          <w:color w:val="auto"/>
        </w:rPr>
        <w:t xml:space="preserve"> seen adverse consequences</w:t>
      </w:r>
      <w:r w:rsidR="00971E48" w:rsidRPr="25AC517E">
        <w:rPr>
          <w:rStyle w:val="Heading4Char"/>
          <w:rFonts w:ascii="Calibri" w:eastAsia="Calibri" w:hAnsi="Calibri" w:cs="Calibri"/>
          <w:b w:val="0"/>
          <w:color w:val="auto"/>
        </w:rPr>
        <w:t xml:space="preserve"> in recent </w:t>
      </w:r>
      <w:r w:rsidR="00971E48" w:rsidRPr="1B11AC45">
        <w:rPr>
          <w:rStyle w:val="Heading4Char"/>
          <w:rFonts w:ascii="Calibri" w:eastAsia="Calibri" w:hAnsi="Calibri" w:cs="Calibri"/>
          <w:b w:val="0"/>
          <w:color w:val="auto"/>
        </w:rPr>
        <w:t>times because</w:t>
      </w:r>
      <w:r w:rsidR="00971E48" w:rsidRPr="25AC517E">
        <w:rPr>
          <w:rStyle w:val="Heading4Char"/>
          <w:rFonts w:ascii="Calibri" w:eastAsia="Calibri" w:hAnsi="Calibri" w:cs="Calibri"/>
          <w:b w:val="0"/>
          <w:color w:val="auto"/>
        </w:rPr>
        <w:t xml:space="preserve"> of </w:t>
      </w:r>
      <w:r w:rsidR="00971E48" w:rsidRPr="47632E9C">
        <w:rPr>
          <w:rStyle w:val="Heading4Char"/>
          <w:rFonts w:ascii="Calibri" w:eastAsia="Calibri" w:hAnsi="Calibri" w:cs="Calibri"/>
          <w:b w:val="0"/>
          <w:color w:val="auto"/>
        </w:rPr>
        <w:t>inaccessible</w:t>
      </w:r>
      <w:r w:rsidR="00971E48" w:rsidRPr="1B11AC45">
        <w:rPr>
          <w:rStyle w:val="Heading4Char"/>
          <w:rFonts w:ascii="Calibri" w:eastAsia="Calibri" w:hAnsi="Calibri" w:cs="Calibri"/>
          <w:b w:val="0"/>
          <w:color w:val="auto"/>
        </w:rPr>
        <w:t xml:space="preserve"> new</w:t>
      </w:r>
      <w:r w:rsidR="00971E48" w:rsidRPr="47632E9C">
        <w:rPr>
          <w:rStyle w:val="Heading4Char"/>
          <w:rFonts w:ascii="Calibri" w:eastAsia="Calibri" w:hAnsi="Calibri" w:cs="Calibri"/>
          <w:b w:val="0"/>
          <w:color w:val="auto"/>
        </w:rPr>
        <w:t xml:space="preserve"> health infrastructure</w:t>
      </w:r>
      <w:r w:rsidR="00971E48" w:rsidRPr="527F51AE">
        <w:rPr>
          <w:rStyle w:val="Heading4Char"/>
          <w:rFonts w:ascii="Calibri" w:eastAsia="Calibri" w:hAnsi="Calibri" w:cs="Calibri"/>
          <w:b w:val="0"/>
          <w:color w:val="auto"/>
        </w:rPr>
        <w:t xml:space="preserve"> at the new Royal Adelaide Hospital</w:t>
      </w:r>
      <w:r w:rsidR="00971E48" w:rsidRPr="03B1AC61">
        <w:rPr>
          <w:rStyle w:val="Heading4Char"/>
          <w:rFonts w:ascii="Calibri" w:eastAsia="Calibri" w:hAnsi="Calibri" w:cs="Calibri"/>
          <w:b w:val="0"/>
          <w:color w:val="auto"/>
        </w:rPr>
        <w:t>. This inaccessibility was</w:t>
      </w:r>
      <w:r w:rsidR="00971E48" w:rsidRPr="527F51AE">
        <w:rPr>
          <w:rStyle w:val="Heading4Char"/>
          <w:rFonts w:ascii="Calibri" w:eastAsia="Calibri" w:hAnsi="Calibri" w:cs="Calibri"/>
          <w:b w:val="0"/>
          <w:color w:val="auto"/>
        </w:rPr>
        <w:t xml:space="preserve"> due to the lack of genuine engagement with people living with disability throughout the entire </w:t>
      </w:r>
      <w:r w:rsidR="00F70ABF">
        <w:rPr>
          <w:rStyle w:val="Heading4Char"/>
          <w:rFonts w:ascii="Calibri" w:eastAsia="Calibri" w:hAnsi="Calibri" w:cs="Calibri"/>
          <w:b w:val="0"/>
          <w:color w:val="auto"/>
        </w:rPr>
        <w:t>build</w:t>
      </w:r>
      <w:r w:rsidR="00971E48" w:rsidRPr="527F51AE">
        <w:rPr>
          <w:rStyle w:val="Heading4Char"/>
          <w:rFonts w:ascii="Calibri" w:eastAsia="Calibri" w:hAnsi="Calibri" w:cs="Calibri"/>
          <w:b w:val="0"/>
          <w:color w:val="auto"/>
        </w:rPr>
        <w:t xml:space="preserve"> process. While th</w:t>
      </w:r>
      <w:r w:rsidR="00F70ABF">
        <w:rPr>
          <w:rStyle w:val="Heading4Char"/>
          <w:rFonts w:ascii="Calibri" w:eastAsia="Calibri" w:hAnsi="Calibri" w:cs="Calibri"/>
          <w:b w:val="0"/>
          <w:color w:val="auto"/>
        </w:rPr>
        <w:t>e</w:t>
      </w:r>
      <w:r w:rsidR="00971E48" w:rsidRPr="527F51AE">
        <w:rPr>
          <w:rStyle w:val="Heading4Char"/>
          <w:rFonts w:ascii="Calibri" w:eastAsia="Calibri" w:hAnsi="Calibri" w:cs="Calibri"/>
          <w:b w:val="0"/>
          <w:color w:val="auto"/>
        </w:rPr>
        <w:t xml:space="preserve"> development involved people living with disability at the start of the process, the focus diminished during the build process, and basic accessibility and inclusion elements were lost by the time the build was complete. Not only was this embarrassing at the time but it </w:t>
      </w:r>
      <w:r w:rsidR="00971E48" w:rsidRPr="34D69FDB">
        <w:rPr>
          <w:rStyle w:val="Heading4Char"/>
          <w:rFonts w:ascii="Calibri" w:eastAsia="Calibri" w:hAnsi="Calibri" w:cs="Calibri"/>
          <w:b w:val="0"/>
          <w:color w:val="auto"/>
        </w:rPr>
        <w:t>made it</w:t>
      </w:r>
      <w:r w:rsidR="00971E48" w:rsidRPr="527F51AE">
        <w:rPr>
          <w:rStyle w:val="Heading4Char"/>
          <w:rFonts w:ascii="Calibri" w:eastAsia="Calibri" w:hAnsi="Calibri" w:cs="Calibri"/>
          <w:b w:val="0"/>
          <w:color w:val="auto"/>
        </w:rPr>
        <w:t xml:space="preserve"> much more expensive to rectify those basic elements. </w:t>
      </w:r>
      <w:r>
        <w:rPr>
          <w:rStyle w:val="Heading4Char"/>
          <w:rFonts w:ascii="Calibri" w:eastAsia="Calibri" w:hAnsi="Calibri" w:cs="Calibri"/>
          <w:b w:val="0"/>
          <w:color w:val="auto"/>
        </w:rPr>
        <w:t xml:space="preserve">This not only provides important lessons for the development of new health infrastructure, but, indeed, for all social and community infrastructure. </w:t>
      </w:r>
      <w:r w:rsidR="00971E48" w:rsidRPr="527F51AE">
        <w:rPr>
          <w:rStyle w:val="Heading4Char"/>
          <w:rFonts w:ascii="Calibri" w:eastAsia="Calibri" w:hAnsi="Calibri" w:cs="Calibri"/>
          <w:b w:val="0"/>
          <w:color w:val="auto"/>
        </w:rPr>
        <w:t xml:space="preserve"> </w:t>
      </w:r>
    </w:p>
    <w:p w14:paraId="1222C558" w14:textId="068A70D6" w:rsidR="00971E48" w:rsidRDefault="00971E48" w:rsidP="00971E48">
      <w:pPr>
        <w:spacing w:after="160"/>
        <w:jc w:val="both"/>
        <w:rPr>
          <w:rStyle w:val="Heading4Char"/>
          <w:rFonts w:ascii="Calibri" w:eastAsia="Calibri" w:hAnsi="Calibri" w:cs="Calibri"/>
          <w:b w:val="0"/>
          <w:color w:val="auto"/>
        </w:rPr>
      </w:pPr>
      <w:r w:rsidRPr="527F51AE">
        <w:rPr>
          <w:rStyle w:val="Heading4Char"/>
          <w:rFonts w:ascii="Calibri" w:eastAsia="Calibri" w:hAnsi="Calibri" w:cs="Calibri"/>
          <w:b w:val="0"/>
          <w:color w:val="auto"/>
        </w:rPr>
        <w:t xml:space="preserve">To avoid the same thing happening again with </w:t>
      </w:r>
      <w:r w:rsidRPr="7D5B9339">
        <w:rPr>
          <w:rStyle w:val="Heading4Char"/>
          <w:rFonts w:ascii="Calibri" w:eastAsia="Calibri" w:hAnsi="Calibri" w:cs="Calibri"/>
          <w:b w:val="0"/>
          <w:color w:val="auto"/>
        </w:rPr>
        <w:t>future health infrastructure</w:t>
      </w:r>
      <w:r w:rsidRPr="527F51AE">
        <w:rPr>
          <w:rStyle w:val="Heading4Char"/>
          <w:rFonts w:ascii="Calibri" w:eastAsia="Calibri" w:hAnsi="Calibri" w:cs="Calibri"/>
          <w:b w:val="0"/>
          <w:color w:val="auto"/>
        </w:rPr>
        <w:t xml:space="preserve"> and for the </w:t>
      </w:r>
      <w:r w:rsidRPr="7D5B9339">
        <w:rPr>
          <w:rStyle w:val="Heading4Char"/>
          <w:rFonts w:ascii="Calibri" w:eastAsia="Calibri" w:hAnsi="Calibri" w:cs="Calibri"/>
          <w:b w:val="0"/>
          <w:color w:val="auto"/>
        </w:rPr>
        <w:t>GARP</w:t>
      </w:r>
      <w:r w:rsidRPr="527F51AE">
        <w:rPr>
          <w:rStyle w:val="Heading4Char"/>
          <w:rFonts w:ascii="Calibri" w:eastAsia="Calibri" w:hAnsi="Calibri" w:cs="Calibri"/>
          <w:b w:val="0"/>
          <w:color w:val="auto"/>
        </w:rPr>
        <w:t xml:space="preserve"> to demonstrate real leadership on matters of accessibility and inclusion, we emphasise the importance of </w:t>
      </w:r>
      <w:r w:rsidRPr="6BA1B188">
        <w:rPr>
          <w:rStyle w:val="Heading4Char"/>
          <w:rFonts w:ascii="Calibri" w:eastAsia="Calibri" w:hAnsi="Calibri" w:cs="Calibri"/>
          <w:b w:val="0"/>
          <w:color w:val="auto"/>
        </w:rPr>
        <w:t>recognising the need for</w:t>
      </w:r>
      <w:r w:rsidRPr="527F51AE">
        <w:rPr>
          <w:rStyle w:val="Heading4Char"/>
          <w:rFonts w:ascii="Calibri" w:eastAsia="Calibri" w:hAnsi="Calibri" w:cs="Calibri"/>
          <w:b w:val="0"/>
          <w:color w:val="auto"/>
        </w:rPr>
        <w:t xml:space="preserve"> people living with disability</w:t>
      </w:r>
      <w:r w:rsidR="009864BC">
        <w:rPr>
          <w:rStyle w:val="Heading4Char"/>
          <w:rFonts w:ascii="Calibri" w:eastAsia="Calibri" w:hAnsi="Calibri" w:cs="Calibri"/>
          <w:b w:val="0"/>
          <w:color w:val="auto"/>
        </w:rPr>
        <w:t>, among others,</w:t>
      </w:r>
      <w:r w:rsidRPr="527F51AE">
        <w:rPr>
          <w:rStyle w:val="Heading4Char"/>
          <w:rFonts w:ascii="Calibri" w:eastAsia="Calibri" w:hAnsi="Calibri" w:cs="Calibri"/>
          <w:b w:val="0"/>
          <w:color w:val="auto"/>
        </w:rPr>
        <w:t xml:space="preserve"> </w:t>
      </w:r>
      <w:r w:rsidRPr="6BA1B188">
        <w:rPr>
          <w:rStyle w:val="Heading4Char"/>
          <w:rFonts w:ascii="Calibri" w:eastAsia="Calibri" w:hAnsi="Calibri" w:cs="Calibri"/>
          <w:b w:val="0"/>
          <w:color w:val="auto"/>
        </w:rPr>
        <w:t xml:space="preserve">to </w:t>
      </w:r>
      <w:r w:rsidRPr="527F51AE">
        <w:rPr>
          <w:rStyle w:val="Heading4Char"/>
          <w:rFonts w:ascii="Calibri" w:eastAsia="Calibri" w:hAnsi="Calibri" w:cs="Calibri"/>
          <w:b w:val="0"/>
          <w:color w:val="auto"/>
        </w:rPr>
        <w:t xml:space="preserve">have a voice at the table during </w:t>
      </w:r>
      <w:r w:rsidRPr="7D5B9339">
        <w:rPr>
          <w:rStyle w:val="Heading4Char"/>
          <w:rFonts w:ascii="Calibri" w:eastAsia="Calibri" w:hAnsi="Calibri" w:cs="Calibri"/>
          <w:b w:val="0"/>
          <w:color w:val="auto"/>
        </w:rPr>
        <w:t xml:space="preserve">the </w:t>
      </w:r>
      <w:r w:rsidRPr="5EDC56DD">
        <w:rPr>
          <w:rStyle w:val="Heading4Char"/>
          <w:rFonts w:ascii="Calibri" w:eastAsia="Calibri" w:hAnsi="Calibri" w:cs="Calibri"/>
          <w:b w:val="0"/>
          <w:color w:val="auto"/>
        </w:rPr>
        <w:t>planning</w:t>
      </w:r>
      <w:r w:rsidRPr="527F51AE">
        <w:rPr>
          <w:rStyle w:val="Heading4Char"/>
          <w:rFonts w:ascii="Calibri" w:eastAsia="Calibri" w:hAnsi="Calibri" w:cs="Calibri"/>
          <w:b w:val="0"/>
          <w:color w:val="auto"/>
        </w:rPr>
        <w:t xml:space="preserve"> process</w:t>
      </w:r>
      <w:r w:rsidR="009864BC">
        <w:rPr>
          <w:rStyle w:val="Heading4Char"/>
          <w:rFonts w:ascii="Calibri" w:eastAsia="Calibri" w:hAnsi="Calibri" w:cs="Calibri"/>
          <w:b w:val="0"/>
          <w:color w:val="auto"/>
        </w:rPr>
        <w:t xml:space="preserve"> and to be involved in decision-making processes as part of authentic co-design</w:t>
      </w:r>
      <w:r w:rsidR="00A31AAA">
        <w:rPr>
          <w:rStyle w:val="Heading4Char"/>
          <w:rFonts w:ascii="Calibri" w:eastAsia="Calibri" w:hAnsi="Calibri" w:cs="Calibri"/>
          <w:b w:val="0"/>
          <w:color w:val="auto"/>
        </w:rPr>
        <w:t xml:space="preserve"> throughout the entire project</w:t>
      </w:r>
      <w:r w:rsidRPr="527F51AE">
        <w:rPr>
          <w:rStyle w:val="Heading4Char"/>
          <w:rFonts w:ascii="Calibri" w:eastAsia="Calibri" w:hAnsi="Calibri" w:cs="Calibri"/>
          <w:b w:val="0"/>
          <w:color w:val="auto"/>
        </w:rPr>
        <w:t xml:space="preserve">, so that </w:t>
      </w:r>
      <w:r w:rsidRPr="6BA1B188">
        <w:rPr>
          <w:rStyle w:val="Heading4Char"/>
          <w:rFonts w:ascii="Calibri" w:eastAsia="Calibri" w:hAnsi="Calibri" w:cs="Calibri"/>
          <w:b w:val="0"/>
          <w:color w:val="auto"/>
        </w:rPr>
        <w:t>new health infrastructure</w:t>
      </w:r>
      <w:r w:rsidRPr="527F51AE">
        <w:rPr>
          <w:rStyle w:val="Heading4Char"/>
          <w:rFonts w:ascii="Calibri" w:eastAsia="Calibri" w:hAnsi="Calibri" w:cs="Calibri"/>
          <w:b w:val="0"/>
          <w:color w:val="auto"/>
        </w:rPr>
        <w:t xml:space="preserve"> </w:t>
      </w:r>
      <w:r w:rsidR="009864BC">
        <w:rPr>
          <w:rStyle w:val="Heading4Char"/>
          <w:rFonts w:ascii="Calibri" w:eastAsia="Calibri" w:hAnsi="Calibri" w:cs="Calibri"/>
          <w:b w:val="0"/>
          <w:color w:val="auto"/>
        </w:rPr>
        <w:t>is designed with</w:t>
      </w:r>
      <w:r w:rsidRPr="527F51AE">
        <w:rPr>
          <w:rStyle w:val="Heading4Char"/>
          <w:rFonts w:ascii="Calibri" w:eastAsia="Calibri" w:hAnsi="Calibri" w:cs="Calibri"/>
          <w:b w:val="0"/>
          <w:color w:val="auto"/>
        </w:rPr>
        <w:t xml:space="preserve"> accessibility and inclusion at the forefront</w:t>
      </w:r>
      <w:r w:rsidR="009864BC">
        <w:rPr>
          <w:rStyle w:val="Heading4Char"/>
          <w:rFonts w:ascii="Calibri" w:eastAsia="Calibri" w:hAnsi="Calibri" w:cs="Calibri"/>
          <w:b w:val="0"/>
          <w:color w:val="auto"/>
        </w:rPr>
        <w:t xml:space="preserve"> of priorities</w:t>
      </w:r>
      <w:r w:rsidRPr="527F51AE">
        <w:rPr>
          <w:rStyle w:val="Heading4Char"/>
          <w:rFonts w:ascii="Calibri" w:eastAsia="Calibri" w:hAnsi="Calibri" w:cs="Calibri"/>
          <w:b w:val="0"/>
          <w:color w:val="auto"/>
        </w:rPr>
        <w:t xml:space="preserve">. This will help ensure </w:t>
      </w:r>
      <w:r w:rsidRPr="022F045D">
        <w:rPr>
          <w:rStyle w:val="Heading4Char"/>
          <w:rFonts w:ascii="Calibri" w:eastAsia="Calibri" w:hAnsi="Calibri" w:cs="Calibri"/>
          <w:b w:val="0"/>
          <w:color w:val="auto"/>
        </w:rPr>
        <w:t>this infrastructure</w:t>
      </w:r>
      <w:r w:rsidRPr="527F51AE">
        <w:rPr>
          <w:rStyle w:val="Heading4Char"/>
          <w:rFonts w:ascii="Calibri" w:eastAsia="Calibri" w:hAnsi="Calibri" w:cs="Calibri"/>
          <w:b w:val="0"/>
          <w:color w:val="auto"/>
        </w:rPr>
        <w:t xml:space="preserve"> is fully accessible and inclusive to all members of our community, including (but not limited to) young families and children, parents and children living with disability, grandparents, First Nations people, the CALD community, healthcare workers</w:t>
      </w:r>
      <w:r w:rsidR="00533ADE">
        <w:rPr>
          <w:rStyle w:val="Heading4Char"/>
          <w:rFonts w:ascii="Calibri" w:eastAsia="Calibri" w:hAnsi="Calibri" w:cs="Calibri"/>
          <w:b w:val="0"/>
          <w:color w:val="auto"/>
        </w:rPr>
        <w:t>,</w:t>
      </w:r>
      <w:r w:rsidRPr="527F51AE">
        <w:rPr>
          <w:rStyle w:val="Heading4Char"/>
          <w:rFonts w:ascii="Calibri" w:eastAsia="Calibri" w:hAnsi="Calibri" w:cs="Calibri"/>
          <w:b w:val="0"/>
          <w:color w:val="auto"/>
        </w:rPr>
        <w:t xml:space="preserve"> and visitors.</w:t>
      </w:r>
    </w:p>
    <w:p w14:paraId="24156B84" w14:textId="31496866" w:rsidR="00971E48" w:rsidRDefault="00C304C1" w:rsidP="005E4064">
      <w:pPr>
        <w:spacing w:after="160"/>
        <w:rPr>
          <w:rFonts w:ascii="Calibri" w:eastAsia="Calibri" w:hAnsi="Calibri" w:cs="Calibri"/>
          <w:b/>
          <w:bCs/>
          <w:color w:val="000000" w:themeColor="text1"/>
        </w:rPr>
      </w:pPr>
      <w:bookmarkStart w:id="43" w:name="_Hlk150179733"/>
      <w:r w:rsidRPr="077C32D5">
        <w:rPr>
          <w:rStyle w:val="Heading4Char"/>
          <w:rFonts w:ascii="Calibri" w:eastAsia="Calibri" w:hAnsi="Calibri" w:cs="Calibri"/>
        </w:rPr>
        <w:lastRenderedPageBreak/>
        <w:t xml:space="preserve">Recommendation </w:t>
      </w:r>
      <w:r w:rsidR="00EC454C" w:rsidRPr="077C32D5">
        <w:rPr>
          <w:rStyle w:val="Heading4Char"/>
          <w:rFonts w:ascii="Calibri" w:eastAsia="Calibri" w:hAnsi="Calibri" w:cs="Calibri"/>
        </w:rPr>
        <w:t>26</w:t>
      </w:r>
      <w:r w:rsidRPr="077C32D5">
        <w:rPr>
          <w:rStyle w:val="Heading4Char"/>
          <w:rFonts w:ascii="Calibri" w:eastAsia="Calibri" w:hAnsi="Calibri" w:cs="Calibri"/>
        </w:rPr>
        <w:t>:</w:t>
      </w:r>
      <w:r w:rsidRPr="077C32D5">
        <w:rPr>
          <w:rFonts w:ascii="Calibri" w:eastAsia="Calibri" w:hAnsi="Calibri" w:cs="Calibri"/>
        </w:rPr>
        <w:t xml:space="preserve"> </w:t>
      </w:r>
      <w:r w:rsidRPr="077C32D5">
        <w:rPr>
          <w:rFonts w:ascii="Calibri" w:eastAsia="Calibri" w:hAnsi="Calibri" w:cs="Calibri"/>
          <w:b/>
          <w:bCs/>
          <w:color w:val="000000" w:themeColor="text1"/>
        </w:rPr>
        <w:t>The Greater Adelaide Regional Plan (GARP) should include outcomes and measurable targets for the accessibility of health infrastructure across Greater Adelaide.</w:t>
      </w:r>
    </w:p>
    <w:bookmarkEnd w:id="43"/>
    <w:p w14:paraId="32BA5992" w14:textId="42FD0639" w:rsidR="077C32D5" w:rsidRDefault="077C32D5" w:rsidP="077C32D5">
      <w:pPr>
        <w:spacing w:after="160"/>
        <w:rPr>
          <w:rFonts w:ascii="Calibri" w:eastAsia="Calibri" w:hAnsi="Calibri" w:cs="Calibri"/>
          <w:b/>
          <w:bCs/>
          <w:color w:val="000000" w:themeColor="text1"/>
        </w:rPr>
      </w:pPr>
    </w:p>
    <w:p w14:paraId="73981A5D" w14:textId="2EF69239" w:rsidR="008E212B" w:rsidRDefault="00674FB8" w:rsidP="00674FB8">
      <w:pPr>
        <w:pStyle w:val="Heading3"/>
        <w:spacing w:after="160" w:line="360" w:lineRule="auto"/>
        <w:ind w:hanging="851"/>
      </w:pPr>
      <w:bookmarkStart w:id="44" w:name="_Toc150180133"/>
      <w:r>
        <w:t>Changing Places</w:t>
      </w:r>
      <w:bookmarkEnd w:id="44"/>
    </w:p>
    <w:p w14:paraId="657F1FF6" w14:textId="194FAFC2" w:rsidR="442B0923" w:rsidRDefault="00674FB8" w:rsidP="005E4064">
      <w:pPr>
        <w:spacing w:after="160"/>
        <w:rPr>
          <w:rFonts w:ascii="Calibri" w:eastAsia="Calibri" w:hAnsi="Calibri" w:cs="Calibri"/>
          <w:color w:val="000000" w:themeColor="text1"/>
        </w:rPr>
      </w:pPr>
      <w:r>
        <w:rPr>
          <w:rFonts w:ascii="Calibri" w:eastAsia="Calibri" w:hAnsi="Calibri" w:cs="Calibri"/>
          <w:color w:val="000000" w:themeColor="text1"/>
        </w:rPr>
        <w:t xml:space="preserve">JFA </w:t>
      </w:r>
      <w:r w:rsidR="442B0923" w:rsidRPr="5F5A6EB0">
        <w:rPr>
          <w:rFonts w:ascii="Calibri" w:eastAsia="Calibri" w:hAnsi="Calibri" w:cs="Calibri"/>
          <w:color w:val="000000" w:themeColor="text1"/>
        </w:rPr>
        <w:t xml:space="preserve">Purple Orange has strongly advocated for more </w:t>
      </w:r>
      <w:r w:rsidR="178AED9E" w:rsidRPr="5F5A6EB0">
        <w:rPr>
          <w:rFonts w:ascii="Calibri" w:eastAsia="Calibri" w:hAnsi="Calibri" w:cs="Calibri"/>
          <w:color w:val="000000" w:themeColor="text1"/>
        </w:rPr>
        <w:t>Changing Places facilities</w:t>
      </w:r>
      <w:r w:rsidR="009864BC">
        <w:rPr>
          <w:rFonts w:ascii="Calibri" w:eastAsia="Calibri" w:hAnsi="Calibri" w:cs="Calibri"/>
          <w:color w:val="000000" w:themeColor="text1"/>
        </w:rPr>
        <w:t xml:space="preserve"> to be provided in the region</w:t>
      </w:r>
      <w:r w:rsidR="13D7C1CF" w:rsidRPr="5F5A6EB0">
        <w:rPr>
          <w:rFonts w:ascii="Calibri" w:eastAsia="Calibri" w:hAnsi="Calibri" w:cs="Calibri"/>
          <w:color w:val="000000" w:themeColor="text1"/>
        </w:rPr>
        <w:t>, which</w:t>
      </w:r>
      <w:r w:rsidR="178AED9E" w:rsidRPr="5F5A6EB0">
        <w:rPr>
          <w:rFonts w:ascii="Calibri" w:eastAsia="Calibri" w:hAnsi="Calibri" w:cs="Calibri"/>
          <w:color w:val="000000" w:themeColor="text1"/>
        </w:rPr>
        <w:t xml:space="preserve"> </w:t>
      </w:r>
      <w:r w:rsidR="009864BC">
        <w:rPr>
          <w:rFonts w:ascii="Calibri" w:eastAsia="Calibri" w:hAnsi="Calibri" w:cs="Calibri"/>
          <w:color w:val="000000" w:themeColor="text1"/>
        </w:rPr>
        <w:t xml:space="preserve">will </w:t>
      </w:r>
      <w:r w:rsidR="178AED9E" w:rsidRPr="5F5A6EB0">
        <w:rPr>
          <w:rFonts w:ascii="Calibri" w:eastAsia="Calibri" w:hAnsi="Calibri" w:cs="Calibri"/>
          <w:color w:val="000000" w:themeColor="text1"/>
        </w:rPr>
        <w:t>enable people with high support needs to access and participate in their communities. South Australia currently has only 18 facilities</w:t>
      </w:r>
      <w:r w:rsidR="00E915C3">
        <w:rPr>
          <w:rFonts w:ascii="Calibri" w:eastAsia="Calibri" w:hAnsi="Calibri" w:cs="Calibri"/>
          <w:color w:val="000000" w:themeColor="text1"/>
        </w:rPr>
        <w:t xml:space="preserve"> compared to Victoria </w:t>
      </w:r>
      <w:r w:rsidR="00A566E9">
        <w:rPr>
          <w:rFonts w:ascii="Calibri" w:eastAsia="Calibri" w:hAnsi="Calibri" w:cs="Calibri"/>
          <w:color w:val="000000" w:themeColor="text1"/>
        </w:rPr>
        <w:t>that</w:t>
      </w:r>
      <w:r w:rsidR="00E915C3">
        <w:rPr>
          <w:rFonts w:ascii="Calibri" w:eastAsia="Calibri" w:hAnsi="Calibri" w:cs="Calibri"/>
          <w:color w:val="000000" w:themeColor="text1"/>
        </w:rPr>
        <w:t xml:space="preserve"> has 113 </w:t>
      </w:r>
      <w:r w:rsidR="178AED9E" w:rsidRPr="5F5A6EB0">
        <w:rPr>
          <w:rFonts w:ascii="Calibri" w:eastAsia="Calibri" w:hAnsi="Calibri" w:cs="Calibri"/>
          <w:color w:val="000000" w:themeColor="text1"/>
        </w:rPr>
        <w:t>out of 247 nationally</w:t>
      </w:r>
      <w:r w:rsidR="00E915C3" w:rsidRPr="00E915C3">
        <w:rPr>
          <w:rFonts w:ascii="Calibri" w:eastAsia="Calibri" w:hAnsi="Calibri" w:cs="Calibri"/>
          <w:color w:val="000000" w:themeColor="text1"/>
        </w:rPr>
        <w:t xml:space="preserve"> </w:t>
      </w:r>
      <w:r w:rsidR="00E915C3">
        <w:rPr>
          <w:rFonts w:ascii="Calibri" w:eastAsia="Calibri" w:hAnsi="Calibri" w:cs="Calibri"/>
          <w:color w:val="000000" w:themeColor="text1"/>
        </w:rPr>
        <w:t>(</w:t>
      </w:r>
      <w:r w:rsidR="00E915C3" w:rsidRPr="5F5A6EB0">
        <w:rPr>
          <w:rFonts w:ascii="Calibri" w:eastAsia="Calibri" w:hAnsi="Calibri" w:cs="Calibri"/>
          <w:color w:val="000000" w:themeColor="text1"/>
        </w:rPr>
        <w:t>listed in the online directory</w:t>
      </w:r>
      <w:r w:rsidR="00E915C3">
        <w:rPr>
          <w:rFonts w:ascii="Calibri" w:eastAsia="Calibri" w:hAnsi="Calibri" w:cs="Calibri"/>
          <w:color w:val="000000" w:themeColor="text1"/>
        </w:rPr>
        <w:t>)</w:t>
      </w:r>
      <w:r w:rsidR="178AED9E" w:rsidRPr="5F5A6EB0">
        <w:rPr>
          <w:rFonts w:ascii="Calibri" w:eastAsia="Calibri" w:hAnsi="Calibri" w:cs="Calibri"/>
          <w:color w:val="000000" w:themeColor="text1"/>
        </w:rPr>
        <w:t>.</w:t>
      </w:r>
      <w:r w:rsidR="442B0923" w:rsidRPr="5F5A6EB0">
        <w:rPr>
          <w:rStyle w:val="FootnoteReference"/>
          <w:rFonts w:ascii="Calibri" w:eastAsia="Calibri" w:hAnsi="Calibri" w:cs="Calibri"/>
          <w:color w:val="000000" w:themeColor="text1"/>
        </w:rPr>
        <w:footnoteReference w:id="24"/>
      </w:r>
      <w:r w:rsidR="178AED9E" w:rsidRPr="5F5A6EB0">
        <w:rPr>
          <w:rFonts w:ascii="Calibri" w:eastAsia="Calibri" w:hAnsi="Calibri" w:cs="Calibri"/>
          <w:color w:val="000000" w:themeColor="text1"/>
        </w:rPr>
        <w:t xml:space="preserve"> Therefore, it is critically important that the </w:t>
      </w:r>
      <w:r w:rsidR="1EAA48DD" w:rsidRPr="5F5A6EB0">
        <w:rPr>
          <w:rFonts w:ascii="Calibri" w:eastAsia="Calibri" w:hAnsi="Calibri" w:cs="Calibri"/>
          <w:color w:val="000000" w:themeColor="text1"/>
        </w:rPr>
        <w:t>GARP recognises the need for facilities</w:t>
      </w:r>
      <w:r w:rsidR="178AED9E" w:rsidRPr="5F5A6EB0">
        <w:rPr>
          <w:rFonts w:ascii="Calibri" w:eastAsia="Calibri" w:hAnsi="Calibri" w:cs="Calibri"/>
          <w:color w:val="000000" w:themeColor="text1"/>
        </w:rPr>
        <w:t xml:space="preserve"> such as this to boost the accessibility of our communit</w:t>
      </w:r>
      <w:r w:rsidR="00267248">
        <w:rPr>
          <w:rFonts w:ascii="Calibri" w:eastAsia="Calibri" w:hAnsi="Calibri" w:cs="Calibri"/>
          <w:color w:val="000000" w:themeColor="text1"/>
        </w:rPr>
        <w:t>ies</w:t>
      </w:r>
      <w:r w:rsidR="178AED9E" w:rsidRPr="5F5A6EB0">
        <w:rPr>
          <w:rFonts w:ascii="Calibri" w:eastAsia="Calibri" w:hAnsi="Calibri" w:cs="Calibri"/>
          <w:color w:val="000000" w:themeColor="text1"/>
        </w:rPr>
        <w:t>, including</w:t>
      </w:r>
      <w:r w:rsidR="1E565146" w:rsidRPr="5F5A6EB0">
        <w:rPr>
          <w:rFonts w:ascii="Calibri" w:eastAsia="Calibri" w:hAnsi="Calibri" w:cs="Calibri"/>
          <w:color w:val="000000" w:themeColor="text1"/>
        </w:rPr>
        <w:t xml:space="preserve"> </w:t>
      </w:r>
      <w:r w:rsidR="00A31909">
        <w:rPr>
          <w:rFonts w:ascii="Calibri" w:eastAsia="Calibri" w:hAnsi="Calibri" w:cs="Calibri"/>
          <w:color w:val="000000" w:themeColor="text1"/>
        </w:rPr>
        <w:t>at</w:t>
      </w:r>
      <w:r w:rsidR="178AED9E" w:rsidRPr="5F5A6EB0">
        <w:rPr>
          <w:rFonts w:ascii="Calibri" w:eastAsia="Calibri" w:hAnsi="Calibri" w:cs="Calibri"/>
          <w:color w:val="000000" w:themeColor="text1"/>
        </w:rPr>
        <w:t xml:space="preserve"> shopping precincts, parks, beaches, recreation facilities, and other public spaces. We understand there is often commentary about the maintenance and security of these facilities, including the potential for vandalism, however there are a range of management options for Changing Places to be kept secure, for example </w:t>
      </w:r>
      <w:proofErr w:type="gramStart"/>
      <w:r w:rsidR="178AED9E" w:rsidRPr="5F5A6EB0">
        <w:rPr>
          <w:rFonts w:ascii="Calibri" w:eastAsia="Calibri" w:hAnsi="Calibri" w:cs="Calibri"/>
          <w:color w:val="000000" w:themeColor="text1"/>
        </w:rPr>
        <w:t>through the use of</w:t>
      </w:r>
      <w:proofErr w:type="gramEnd"/>
      <w:r w:rsidR="178AED9E" w:rsidRPr="5F5A6EB0">
        <w:rPr>
          <w:rFonts w:ascii="Calibri" w:eastAsia="Calibri" w:hAnsi="Calibri" w:cs="Calibri"/>
          <w:color w:val="000000" w:themeColor="text1"/>
        </w:rPr>
        <w:t xml:space="preserve"> MLAK keys</w:t>
      </w:r>
      <w:r w:rsidR="442B0923" w:rsidRPr="5F5A6EB0">
        <w:rPr>
          <w:rStyle w:val="FootnoteReference"/>
          <w:rFonts w:ascii="Calibri" w:eastAsia="Calibri" w:hAnsi="Calibri" w:cs="Calibri"/>
          <w:color w:val="000000" w:themeColor="text1"/>
        </w:rPr>
        <w:footnoteReference w:id="25"/>
      </w:r>
      <w:r w:rsidR="178AED9E" w:rsidRPr="5F5A6EB0">
        <w:rPr>
          <w:rFonts w:ascii="Calibri" w:eastAsia="Calibri" w:hAnsi="Calibri" w:cs="Calibri"/>
          <w:color w:val="000000" w:themeColor="text1"/>
        </w:rPr>
        <w:t xml:space="preserve"> that restrict access to only those who genuinely need to use them.</w:t>
      </w:r>
    </w:p>
    <w:p w14:paraId="1B1CE219" w14:textId="7896C81D" w:rsidR="00FF1B35" w:rsidRDefault="178AED9E" w:rsidP="005E4064">
      <w:pPr>
        <w:spacing w:after="160"/>
        <w:rPr>
          <w:rFonts w:ascii="Calibri" w:eastAsia="Calibri" w:hAnsi="Calibri" w:cs="Calibri"/>
          <w:color w:val="000000" w:themeColor="text1"/>
        </w:rPr>
      </w:pPr>
      <w:r w:rsidRPr="5F5A6EB0">
        <w:rPr>
          <w:rFonts w:ascii="Calibri" w:eastAsia="Calibri" w:hAnsi="Calibri" w:cs="Calibri"/>
          <w:color w:val="000000" w:themeColor="text1"/>
        </w:rPr>
        <w:t xml:space="preserve">Changing Places facilities are a crucial element of meeting minimum standards of accessibility. This is acknowledged </w:t>
      </w:r>
      <w:r w:rsidR="00BD6541">
        <w:rPr>
          <w:rFonts w:ascii="Calibri" w:eastAsia="Calibri" w:hAnsi="Calibri" w:cs="Calibri"/>
          <w:color w:val="000000" w:themeColor="text1"/>
        </w:rPr>
        <w:t>in the State Disability Inclusion Plan, known as</w:t>
      </w:r>
      <w:r w:rsidRPr="5F5A6EB0">
        <w:rPr>
          <w:rFonts w:ascii="Calibri" w:eastAsia="Calibri" w:hAnsi="Calibri" w:cs="Calibri"/>
          <w:color w:val="000000" w:themeColor="text1"/>
        </w:rPr>
        <w:t xml:space="preserve"> </w:t>
      </w:r>
      <w:r w:rsidRPr="5F5A6EB0">
        <w:rPr>
          <w:rFonts w:ascii="Calibri" w:eastAsia="Calibri" w:hAnsi="Calibri" w:cs="Calibri"/>
          <w:i/>
          <w:iCs/>
          <w:color w:val="000000" w:themeColor="text1"/>
        </w:rPr>
        <w:t>Inclusive SA</w:t>
      </w:r>
      <w:r w:rsidRPr="5F5A6EB0">
        <w:rPr>
          <w:rFonts w:ascii="Calibri" w:eastAsia="Calibri" w:hAnsi="Calibri" w:cs="Calibri"/>
          <w:color w:val="000000" w:themeColor="text1"/>
        </w:rPr>
        <w:t>. Additionally, the</w:t>
      </w:r>
      <w:r w:rsidR="657CAB43" w:rsidRPr="5F5A6EB0">
        <w:rPr>
          <w:rFonts w:ascii="Calibri" w:eastAsia="Calibri" w:hAnsi="Calibri" w:cs="Calibri"/>
          <w:color w:val="000000" w:themeColor="text1"/>
        </w:rPr>
        <w:t xml:space="preserve"> </w:t>
      </w:r>
      <w:r w:rsidRPr="5F5A6EB0">
        <w:rPr>
          <w:rFonts w:ascii="Calibri" w:eastAsia="Calibri" w:hAnsi="Calibri" w:cs="Calibri"/>
          <w:color w:val="000000" w:themeColor="text1"/>
        </w:rPr>
        <w:t xml:space="preserve">2021-22 </w:t>
      </w:r>
      <w:r w:rsidRPr="00D02AA7">
        <w:rPr>
          <w:rFonts w:ascii="Calibri" w:eastAsia="Calibri" w:hAnsi="Calibri" w:cs="Calibri"/>
          <w:i/>
          <w:iCs/>
          <w:color w:val="000000" w:themeColor="text1"/>
        </w:rPr>
        <w:t>Inclusive SA</w:t>
      </w:r>
      <w:r w:rsidRPr="5F5A6EB0">
        <w:rPr>
          <w:rFonts w:ascii="Calibri" w:eastAsia="Calibri" w:hAnsi="Calibri" w:cs="Calibri"/>
          <w:color w:val="000000" w:themeColor="text1"/>
        </w:rPr>
        <w:t xml:space="preserve"> Annual Report highlights the Federal Government’s commitment to co-contribute to a Changing Places facility in each of the 400 Local Government Areas (LGAs) nationally that currently do not have a facility by 2025-26 in order to ‘ensure no person with disability is left behind’.</w:t>
      </w:r>
      <w:r w:rsidRPr="5F5A6EB0">
        <w:rPr>
          <w:rStyle w:val="FootnoteReference"/>
          <w:rFonts w:ascii="Calibri" w:eastAsia="Calibri" w:hAnsi="Calibri" w:cs="Calibri"/>
          <w:color w:val="000000" w:themeColor="text1"/>
        </w:rPr>
        <w:footnoteReference w:id="26"/>
      </w:r>
      <w:r w:rsidRPr="5F5A6EB0">
        <w:rPr>
          <w:rFonts w:ascii="Calibri" w:eastAsia="Calibri" w:hAnsi="Calibri" w:cs="Calibri"/>
          <w:color w:val="000000" w:themeColor="text1"/>
        </w:rPr>
        <w:t xml:space="preserve"> </w:t>
      </w:r>
      <w:r w:rsidR="00FF1B35">
        <w:rPr>
          <w:rFonts w:ascii="Calibri" w:eastAsia="Calibri" w:hAnsi="Calibri" w:cs="Calibri"/>
          <w:color w:val="000000" w:themeColor="text1"/>
        </w:rPr>
        <w:t xml:space="preserve">Given </w:t>
      </w:r>
      <w:r w:rsidRPr="5F5A6EB0">
        <w:rPr>
          <w:rFonts w:ascii="Calibri" w:eastAsia="Calibri" w:hAnsi="Calibri" w:cs="Calibri"/>
          <w:color w:val="000000" w:themeColor="text1"/>
        </w:rPr>
        <w:t xml:space="preserve">South Australia has 68 LGAs, </w:t>
      </w:r>
      <w:r w:rsidR="00FF1B35">
        <w:rPr>
          <w:rFonts w:ascii="Calibri" w:eastAsia="Calibri" w:hAnsi="Calibri" w:cs="Calibri"/>
          <w:color w:val="000000" w:themeColor="text1"/>
        </w:rPr>
        <w:t xml:space="preserve">the State is falling well short </w:t>
      </w:r>
      <w:r w:rsidR="00A908D0">
        <w:rPr>
          <w:rFonts w:ascii="Calibri" w:eastAsia="Calibri" w:hAnsi="Calibri" w:cs="Calibri"/>
          <w:color w:val="000000" w:themeColor="text1"/>
        </w:rPr>
        <w:t xml:space="preserve">of this benchmark, including in the Greater Adelaide region. The GARP should highlight </w:t>
      </w:r>
      <w:r w:rsidR="0046733A">
        <w:rPr>
          <w:rFonts w:ascii="Calibri" w:eastAsia="Calibri" w:hAnsi="Calibri" w:cs="Calibri"/>
          <w:color w:val="000000" w:themeColor="text1"/>
        </w:rPr>
        <w:t>the benefits of Changing Places to creating accessible communities and measure</w:t>
      </w:r>
      <w:r w:rsidR="009864BC">
        <w:rPr>
          <w:rFonts w:ascii="Calibri" w:eastAsia="Calibri" w:hAnsi="Calibri" w:cs="Calibri"/>
          <w:color w:val="000000" w:themeColor="text1"/>
        </w:rPr>
        <w:t xml:space="preserve"> the</w:t>
      </w:r>
      <w:r w:rsidR="0046733A">
        <w:rPr>
          <w:rFonts w:ascii="Calibri" w:eastAsia="Calibri" w:hAnsi="Calibri" w:cs="Calibri"/>
          <w:color w:val="000000" w:themeColor="text1"/>
        </w:rPr>
        <w:t xml:space="preserve"> progress </w:t>
      </w:r>
      <w:r w:rsidR="009864BC">
        <w:rPr>
          <w:rFonts w:ascii="Calibri" w:eastAsia="Calibri" w:hAnsi="Calibri" w:cs="Calibri"/>
          <w:color w:val="000000" w:themeColor="text1"/>
        </w:rPr>
        <w:t>of</w:t>
      </w:r>
      <w:r w:rsidR="0046733A">
        <w:rPr>
          <w:rFonts w:ascii="Calibri" w:eastAsia="Calibri" w:hAnsi="Calibri" w:cs="Calibri"/>
          <w:color w:val="000000" w:themeColor="text1"/>
        </w:rPr>
        <w:t xml:space="preserve"> their roll out.</w:t>
      </w:r>
      <w:r w:rsidRPr="5F5A6EB0">
        <w:rPr>
          <w:rFonts w:ascii="Calibri" w:eastAsia="Calibri" w:hAnsi="Calibri" w:cs="Calibri"/>
          <w:color w:val="000000" w:themeColor="text1"/>
        </w:rPr>
        <w:t xml:space="preserve"> </w:t>
      </w:r>
      <w:r w:rsidR="009864BC">
        <w:rPr>
          <w:rFonts w:ascii="Calibri" w:eastAsia="Calibri" w:hAnsi="Calibri" w:cs="Calibri"/>
          <w:color w:val="000000" w:themeColor="text1"/>
        </w:rPr>
        <w:t xml:space="preserve">We note that Changing Places are </w:t>
      </w:r>
      <w:r w:rsidR="009864BC">
        <w:rPr>
          <w:rFonts w:ascii="Calibri" w:eastAsia="Calibri" w:hAnsi="Calibri" w:cs="Calibri"/>
          <w:color w:val="000000" w:themeColor="text1"/>
        </w:rPr>
        <w:lastRenderedPageBreak/>
        <w:t>currently regarded as among the best design and construction options available, but this should not prevent the Commission or government investigating alternative models that achieve the same outcome.</w:t>
      </w:r>
    </w:p>
    <w:p w14:paraId="74440B07" w14:textId="495875F1" w:rsidR="178AED9E" w:rsidRDefault="0046733A" w:rsidP="005E4064">
      <w:pPr>
        <w:spacing w:after="160"/>
        <w:rPr>
          <w:rFonts w:ascii="Calibri" w:eastAsia="Calibri" w:hAnsi="Calibri" w:cs="Calibri"/>
          <w:b/>
          <w:bCs/>
          <w:color w:val="000000" w:themeColor="text1"/>
        </w:rPr>
      </w:pPr>
      <w:bookmarkStart w:id="45" w:name="_Hlk150179740"/>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27</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w:t>
      </w:r>
      <w:r w:rsidR="0014677F">
        <w:rPr>
          <w:rFonts w:ascii="Calibri" w:eastAsia="Calibri" w:hAnsi="Calibri" w:cs="Calibri"/>
          <w:b/>
          <w:bCs/>
          <w:color w:val="000000" w:themeColor="text1"/>
        </w:rPr>
        <w:t xml:space="preserve">promote the roll out of Changing Places facilities and </w:t>
      </w:r>
      <w:r w:rsidR="006B39EA">
        <w:rPr>
          <w:rFonts w:ascii="Calibri" w:eastAsia="Calibri" w:hAnsi="Calibri" w:cs="Calibri"/>
          <w:b/>
          <w:bCs/>
          <w:color w:val="000000" w:themeColor="text1"/>
        </w:rPr>
        <w:t>include a measure to track progress</w:t>
      </w:r>
      <w:r>
        <w:rPr>
          <w:rFonts w:ascii="Calibri" w:eastAsia="Calibri" w:hAnsi="Calibri" w:cs="Calibri"/>
          <w:b/>
          <w:bCs/>
          <w:color w:val="000000" w:themeColor="text1"/>
        </w:rPr>
        <w:t>.</w:t>
      </w:r>
    </w:p>
    <w:bookmarkEnd w:id="45"/>
    <w:p w14:paraId="4545B498" w14:textId="77777777" w:rsidR="00B800D7" w:rsidRDefault="00B800D7" w:rsidP="005E4064">
      <w:pPr>
        <w:spacing w:after="160"/>
        <w:rPr>
          <w:rFonts w:ascii="Calibri" w:eastAsia="Calibri" w:hAnsi="Calibri" w:cs="Calibri"/>
          <w:color w:val="000000" w:themeColor="text1"/>
        </w:rPr>
      </w:pPr>
    </w:p>
    <w:p w14:paraId="68562515" w14:textId="2E67FBF5" w:rsidR="00306834" w:rsidRDefault="001F24DA" w:rsidP="005E4064">
      <w:pPr>
        <w:pStyle w:val="Heading2"/>
        <w:spacing w:after="160" w:line="360" w:lineRule="auto"/>
      </w:pPr>
      <w:bookmarkStart w:id="46" w:name="_Toc150180134"/>
      <w:r>
        <w:t xml:space="preserve">Creating a public realm that </w:t>
      </w:r>
      <w:r w:rsidR="00424858">
        <w:t>includes everyone</w:t>
      </w:r>
      <w:bookmarkEnd w:id="46"/>
    </w:p>
    <w:p w14:paraId="239B58BE" w14:textId="08CBDB1A" w:rsidR="009F03C8" w:rsidRDefault="004F7524" w:rsidP="005E4064">
      <w:pPr>
        <w:spacing w:after="160"/>
      </w:pPr>
      <w:r>
        <w:t xml:space="preserve">The public realm </w:t>
      </w:r>
      <w:r w:rsidR="0062298F">
        <w:t>is a broad term that captures all spaces</w:t>
      </w:r>
      <w:r w:rsidR="00CD0340">
        <w:t xml:space="preserve"> open to </w:t>
      </w:r>
      <w:r w:rsidR="000745BF">
        <w:t>people</w:t>
      </w:r>
      <w:r w:rsidR="0062298F">
        <w:t xml:space="preserve"> that </w:t>
      </w:r>
      <w:r w:rsidR="007671D9">
        <w:t xml:space="preserve">are </w:t>
      </w:r>
      <w:r w:rsidR="0062298F">
        <w:t xml:space="preserve">not </w:t>
      </w:r>
      <w:r w:rsidR="00F72121">
        <w:t>under private ownership</w:t>
      </w:r>
      <w:r w:rsidR="00CD0340">
        <w:t xml:space="preserve"> or</w:t>
      </w:r>
      <w:r w:rsidR="00F72121">
        <w:t xml:space="preserve"> </w:t>
      </w:r>
      <w:r w:rsidR="00E05F38">
        <w:t>subject to</w:t>
      </w:r>
      <w:r w:rsidR="00F72121">
        <w:t xml:space="preserve"> restricted access. </w:t>
      </w:r>
      <w:r w:rsidR="007671D9">
        <w:t xml:space="preserve">It is an important concept because it is impossible to </w:t>
      </w:r>
      <w:r w:rsidR="00B77D30">
        <w:t xml:space="preserve">list every </w:t>
      </w:r>
      <w:r w:rsidR="005B34A6">
        <w:t>aspect of</w:t>
      </w:r>
      <w:r w:rsidR="00B77D30">
        <w:t xml:space="preserve"> community </w:t>
      </w:r>
      <w:r w:rsidR="005B34A6">
        <w:t>space</w:t>
      </w:r>
      <w:r w:rsidR="00B77D30">
        <w:t xml:space="preserve"> as a specific consideration</w:t>
      </w:r>
      <w:r w:rsidR="004730F7">
        <w:t xml:space="preserve"> (although we have highlighted a few </w:t>
      </w:r>
      <w:r w:rsidR="00BB3048">
        <w:t xml:space="preserve">examples </w:t>
      </w:r>
      <w:r w:rsidR="004730F7">
        <w:t>above)</w:t>
      </w:r>
      <w:r w:rsidR="00FE06F1">
        <w:t>.</w:t>
      </w:r>
      <w:r w:rsidR="00B77D30">
        <w:t xml:space="preserve"> </w:t>
      </w:r>
      <w:r w:rsidR="00FE06F1">
        <w:t>T</w:t>
      </w:r>
      <w:r w:rsidR="00F52D51">
        <w:t>herefore, such an expansive term can broaden the horizon</w:t>
      </w:r>
      <w:r w:rsidR="000745BF">
        <w:t xml:space="preserve"> of</w:t>
      </w:r>
      <w:r w:rsidR="00F52D51">
        <w:t xml:space="preserve"> </w:t>
      </w:r>
      <w:r w:rsidR="009B744A">
        <w:t xml:space="preserve">the things we think about when we talk about making </w:t>
      </w:r>
      <w:r w:rsidR="00FE06F1">
        <w:t>places</w:t>
      </w:r>
      <w:r w:rsidR="009B744A">
        <w:t xml:space="preserve"> accessible</w:t>
      </w:r>
      <w:r w:rsidR="00BB3048">
        <w:t xml:space="preserve"> to all</w:t>
      </w:r>
      <w:r w:rsidR="009B744A">
        <w:t xml:space="preserve">. </w:t>
      </w:r>
      <w:r w:rsidR="00730EC6">
        <w:t>In other words, we are talking about everyone being able to access everything</w:t>
      </w:r>
      <w:r w:rsidR="00FE06F1">
        <w:t xml:space="preserve"> in the public realm</w:t>
      </w:r>
      <w:r w:rsidR="00730EC6">
        <w:t xml:space="preserve"> on an equal basis </w:t>
      </w:r>
      <w:r w:rsidR="00B05FAA">
        <w:t xml:space="preserve">with others. We are not talking about </w:t>
      </w:r>
      <w:r w:rsidR="004A2C91">
        <w:t>‘</w:t>
      </w:r>
      <w:r w:rsidR="00B05FAA">
        <w:t>equivalent</w:t>
      </w:r>
      <w:r w:rsidR="004A2C91">
        <w:t>’</w:t>
      </w:r>
      <w:r w:rsidR="00B05FAA">
        <w:t xml:space="preserve"> access or special separate provisions for particula</w:t>
      </w:r>
      <w:r w:rsidR="004A2C91">
        <w:t>r people</w:t>
      </w:r>
      <w:r w:rsidR="00301A17">
        <w:t>.</w:t>
      </w:r>
      <w:r w:rsidR="004730F7">
        <w:t xml:space="preserve"> </w:t>
      </w:r>
      <w:r w:rsidR="00301A17">
        <w:t>Those approaches</w:t>
      </w:r>
      <w:r w:rsidR="004730F7">
        <w:t xml:space="preserve"> are exclusionary</w:t>
      </w:r>
      <w:r w:rsidR="00B800D7">
        <w:t xml:space="preserve"> and have no place in society</w:t>
      </w:r>
      <w:r w:rsidR="004A2C91">
        <w:t xml:space="preserve">. The GARP should reflect </w:t>
      </w:r>
      <w:r w:rsidR="004730F7">
        <w:t>and respond to the need to make the public realms of the Greater Adelaide region accessible to everyone</w:t>
      </w:r>
      <w:r w:rsidR="00F52D51">
        <w:t xml:space="preserve"> </w:t>
      </w:r>
      <w:r w:rsidR="00301A17">
        <w:t>and</w:t>
      </w:r>
      <w:r w:rsidR="00E239B3">
        <w:t xml:space="preserve"> set</w:t>
      </w:r>
      <w:r w:rsidR="00301A17">
        <w:t xml:space="preserve"> </w:t>
      </w:r>
      <w:r w:rsidR="00DC659F">
        <w:t>interim targets to achieve this.</w:t>
      </w:r>
    </w:p>
    <w:p w14:paraId="7D157827" w14:textId="34FCF665" w:rsidR="00A850B5" w:rsidRDefault="00414169" w:rsidP="005E4064">
      <w:pPr>
        <w:spacing w:after="160"/>
        <w:rPr>
          <w:rFonts w:ascii="Calibri" w:eastAsia="Calibri" w:hAnsi="Calibri" w:cs="Calibri"/>
        </w:rPr>
      </w:pPr>
      <w:r>
        <w:t>The accessibility of the public realm</w:t>
      </w:r>
      <w:r w:rsidR="00A20CF1">
        <w:t xml:space="preserve"> also</w:t>
      </w:r>
      <w:r>
        <w:t xml:space="preserve"> has implications for many other aspects of life. </w:t>
      </w:r>
      <w:r w:rsidR="7006FBBC">
        <w:t>According to a recent report by the University of Tasmania</w:t>
      </w:r>
      <w:r w:rsidR="00DC659F">
        <w:t>,</w:t>
      </w:r>
      <w:r w:rsidR="7006FBBC">
        <w:t xml:space="preserve"> </w:t>
      </w:r>
      <w:r w:rsidR="009F03C8">
        <w:t>‘</w:t>
      </w:r>
      <w:r w:rsidR="7006FBBC">
        <w:t>w</w:t>
      </w:r>
      <w:r w:rsidR="7006FBBC" w:rsidRPr="209ABB73">
        <w:rPr>
          <w:rFonts w:ascii="Calibri" w:eastAsia="Calibri" w:hAnsi="Calibri" w:cs="Calibri"/>
          <w:lang w:val="en-US"/>
        </w:rPr>
        <w:t>ell-known urban scholars and advocates like Jane Jacobs, Paul Davidoff and David Harvey</w:t>
      </w:r>
      <w:r w:rsidR="0314514F" w:rsidRPr="05309F93">
        <w:rPr>
          <w:rFonts w:ascii="Calibri" w:eastAsia="Calibri" w:hAnsi="Calibri" w:cs="Calibri"/>
          <w:lang w:val="en-US"/>
        </w:rPr>
        <w:t>...</w:t>
      </w:r>
      <w:r w:rsidR="00DC659F">
        <w:rPr>
          <w:rFonts w:ascii="Calibri" w:eastAsia="Calibri" w:hAnsi="Calibri" w:cs="Calibri"/>
          <w:lang w:val="en-US"/>
        </w:rPr>
        <w:t xml:space="preserve"> </w:t>
      </w:r>
      <w:r w:rsidR="00D463A0">
        <w:rPr>
          <w:rFonts w:ascii="Calibri" w:eastAsia="Calibri" w:hAnsi="Calibri" w:cs="Calibri"/>
          <w:lang w:val="en-US"/>
        </w:rPr>
        <w:t xml:space="preserve">[have] </w:t>
      </w:r>
      <w:r w:rsidR="7006FBBC" w:rsidRPr="209ABB73">
        <w:rPr>
          <w:rFonts w:ascii="Calibri" w:eastAsia="Calibri" w:hAnsi="Calibri" w:cs="Calibri"/>
          <w:lang w:val="en-US"/>
        </w:rPr>
        <w:t>signaled concern for the erosion of public spaces and commons.</w:t>
      </w:r>
      <w:r w:rsidR="009F03C8">
        <w:rPr>
          <w:rFonts w:ascii="Calibri" w:eastAsia="Calibri" w:hAnsi="Calibri" w:cs="Calibri"/>
          <w:lang w:val="en-US"/>
        </w:rPr>
        <w:t>’</w:t>
      </w:r>
      <w:r w:rsidR="7006FBBC" w:rsidRPr="05309F93">
        <w:rPr>
          <w:rStyle w:val="FootnoteReference"/>
          <w:rFonts w:ascii="Calibri" w:eastAsia="Calibri" w:hAnsi="Calibri" w:cs="Calibri"/>
          <w:lang w:val="en-US"/>
        </w:rPr>
        <w:footnoteReference w:id="27"/>
      </w:r>
      <w:r w:rsidR="7006FBBC" w:rsidRPr="209ABB73">
        <w:rPr>
          <w:rFonts w:ascii="Calibri" w:eastAsia="Calibri" w:hAnsi="Calibri" w:cs="Calibri"/>
          <w:lang w:val="en-US"/>
        </w:rPr>
        <w:t xml:space="preserve"> They then added</w:t>
      </w:r>
      <w:r w:rsidR="00D463A0">
        <w:rPr>
          <w:rFonts w:ascii="Calibri" w:eastAsia="Calibri" w:hAnsi="Calibri" w:cs="Calibri"/>
          <w:lang w:val="en-US"/>
        </w:rPr>
        <w:t>,</w:t>
      </w:r>
      <w:r w:rsidR="7006FBBC" w:rsidRPr="209ABB73">
        <w:rPr>
          <w:rFonts w:ascii="Calibri" w:eastAsia="Calibri" w:hAnsi="Calibri" w:cs="Calibri"/>
          <w:lang w:val="en-US"/>
        </w:rPr>
        <w:t xml:space="preserve"> </w:t>
      </w:r>
      <w:r w:rsidR="00D463A0">
        <w:rPr>
          <w:rFonts w:ascii="Calibri" w:eastAsia="Calibri" w:hAnsi="Calibri" w:cs="Calibri"/>
          <w:lang w:val="en-US"/>
        </w:rPr>
        <w:t>‘</w:t>
      </w:r>
      <w:r w:rsidR="7006FBBC" w:rsidRPr="209ABB73">
        <w:rPr>
          <w:rFonts w:ascii="Calibri" w:eastAsia="Calibri" w:hAnsi="Calibri" w:cs="Calibri"/>
        </w:rPr>
        <w:t xml:space="preserve">the community design movement emerged from the </w:t>
      </w:r>
      <w:r w:rsidR="00DD433E">
        <w:rPr>
          <w:rFonts w:ascii="Calibri" w:eastAsia="Calibri" w:hAnsi="Calibri" w:cs="Calibri"/>
        </w:rPr>
        <w:t>‘</w:t>
      </w:r>
      <w:r w:rsidR="7006FBBC" w:rsidRPr="209ABB73">
        <w:rPr>
          <w:rFonts w:ascii="Calibri" w:eastAsia="Calibri" w:hAnsi="Calibri" w:cs="Calibri"/>
        </w:rPr>
        <w:t>realizations that the mismanagement of the physical environment is a major factor contributing to the social and economic ill of the worlds and there are better ways of going about design and planning</w:t>
      </w:r>
      <w:r w:rsidR="003657A8">
        <w:rPr>
          <w:rFonts w:ascii="Calibri" w:eastAsia="Calibri" w:hAnsi="Calibri" w:cs="Calibri"/>
        </w:rPr>
        <w:t>’</w:t>
      </w:r>
      <w:r w:rsidR="7006FBBC" w:rsidRPr="4F832631">
        <w:rPr>
          <w:rFonts w:ascii="Calibri" w:eastAsia="Calibri" w:hAnsi="Calibri" w:cs="Calibri"/>
        </w:rPr>
        <w:t>.</w:t>
      </w:r>
      <w:r w:rsidR="7006FBBC" w:rsidRPr="61E6116F">
        <w:rPr>
          <w:rStyle w:val="FootnoteReference"/>
          <w:rFonts w:ascii="Calibri" w:eastAsia="Calibri" w:hAnsi="Calibri" w:cs="Calibri"/>
        </w:rPr>
        <w:footnoteReference w:id="28"/>
      </w:r>
      <w:r w:rsidR="7006FBBC" w:rsidRPr="4F832631">
        <w:rPr>
          <w:rFonts w:ascii="Calibri" w:eastAsia="Calibri" w:hAnsi="Calibri" w:cs="Calibri"/>
        </w:rPr>
        <w:t xml:space="preserve"> </w:t>
      </w:r>
      <w:r w:rsidR="7006FBBC" w:rsidRPr="0752398A">
        <w:rPr>
          <w:rFonts w:ascii="Calibri" w:eastAsia="Calibri" w:hAnsi="Calibri" w:cs="Calibri"/>
        </w:rPr>
        <w:t xml:space="preserve">When </w:t>
      </w:r>
      <w:r w:rsidR="1C1B5107" w:rsidRPr="0752398A">
        <w:rPr>
          <w:rFonts w:ascii="Calibri" w:eastAsia="Calibri" w:hAnsi="Calibri" w:cs="Calibri"/>
        </w:rPr>
        <w:t xml:space="preserve">the University asked people living with disability what </w:t>
      </w:r>
      <w:r w:rsidR="16C5C26D" w:rsidRPr="18FCD8A2">
        <w:rPr>
          <w:rFonts w:ascii="Calibri" w:eastAsia="Calibri" w:hAnsi="Calibri" w:cs="Calibri"/>
        </w:rPr>
        <w:t>kind of community spaces were</w:t>
      </w:r>
      <w:r w:rsidR="1C1B5107" w:rsidRPr="0752398A">
        <w:rPr>
          <w:rFonts w:ascii="Calibri" w:eastAsia="Calibri" w:hAnsi="Calibri" w:cs="Calibri"/>
        </w:rPr>
        <w:t xml:space="preserve"> important </w:t>
      </w:r>
      <w:r w:rsidR="16C5C26D" w:rsidRPr="18FCD8A2">
        <w:rPr>
          <w:rFonts w:ascii="Calibri" w:eastAsia="Calibri" w:hAnsi="Calibri" w:cs="Calibri"/>
        </w:rPr>
        <w:t>to them</w:t>
      </w:r>
      <w:r w:rsidR="16C5C26D" w:rsidRPr="6E1209CD">
        <w:rPr>
          <w:rFonts w:ascii="Calibri" w:eastAsia="Calibri" w:hAnsi="Calibri" w:cs="Calibri"/>
        </w:rPr>
        <w:t xml:space="preserve">, </w:t>
      </w:r>
      <w:r w:rsidR="00083060">
        <w:rPr>
          <w:rFonts w:ascii="Calibri" w:eastAsia="Calibri" w:hAnsi="Calibri" w:cs="Calibri"/>
        </w:rPr>
        <w:t xml:space="preserve">they </w:t>
      </w:r>
      <w:r w:rsidR="00083060">
        <w:rPr>
          <w:rFonts w:ascii="Calibri" w:eastAsia="Calibri" w:hAnsi="Calibri" w:cs="Calibri"/>
        </w:rPr>
        <w:lastRenderedPageBreak/>
        <w:t xml:space="preserve">identified </w:t>
      </w:r>
      <w:r w:rsidR="16C5C26D" w:rsidRPr="6E1209CD">
        <w:rPr>
          <w:rFonts w:ascii="Calibri" w:eastAsia="Calibri" w:hAnsi="Calibri" w:cs="Calibri"/>
        </w:rPr>
        <w:t xml:space="preserve">parks, beaches, </w:t>
      </w:r>
      <w:r w:rsidR="00083060">
        <w:rPr>
          <w:rFonts w:ascii="Calibri" w:eastAsia="Calibri" w:hAnsi="Calibri" w:cs="Calibri"/>
        </w:rPr>
        <w:t xml:space="preserve">and the </w:t>
      </w:r>
      <w:r w:rsidR="16C5C26D" w:rsidRPr="6E1209CD">
        <w:rPr>
          <w:rFonts w:ascii="Calibri" w:eastAsia="Calibri" w:hAnsi="Calibri" w:cs="Calibri"/>
        </w:rPr>
        <w:t>bush</w:t>
      </w:r>
      <w:r w:rsidR="00083060">
        <w:rPr>
          <w:rFonts w:ascii="Calibri" w:eastAsia="Calibri" w:hAnsi="Calibri" w:cs="Calibri"/>
        </w:rPr>
        <w:t>;</w:t>
      </w:r>
      <w:r w:rsidR="16C5C26D" w:rsidRPr="6E1209CD">
        <w:rPr>
          <w:rFonts w:ascii="Calibri" w:eastAsia="Calibri" w:hAnsi="Calibri" w:cs="Calibri"/>
        </w:rPr>
        <w:t xml:space="preserve"> </w:t>
      </w:r>
      <w:r w:rsidR="248863FF" w:rsidRPr="6E1209CD">
        <w:rPr>
          <w:rFonts w:ascii="Calibri" w:eastAsia="Calibri" w:hAnsi="Calibri" w:cs="Calibri"/>
        </w:rPr>
        <w:t xml:space="preserve">places where </w:t>
      </w:r>
      <w:r w:rsidR="16C5C26D" w:rsidRPr="68D394A5">
        <w:rPr>
          <w:rFonts w:ascii="Calibri" w:eastAsia="Calibri" w:hAnsi="Calibri" w:cs="Calibri"/>
        </w:rPr>
        <w:t>the</w:t>
      </w:r>
      <w:r w:rsidR="073ABE48" w:rsidRPr="68D394A5">
        <w:rPr>
          <w:rFonts w:ascii="Calibri" w:eastAsia="Calibri" w:hAnsi="Calibri" w:cs="Calibri"/>
        </w:rPr>
        <w:t>re was an</w:t>
      </w:r>
      <w:r w:rsidR="16C5C26D" w:rsidRPr="68D394A5">
        <w:rPr>
          <w:rFonts w:ascii="Calibri" w:eastAsia="Calibri" w:hAnsi="Calibri" w:cs="Calibri"/>
        </w:rPr>
        <w:t xml:space="preserve"> opportunity to watch birds, smell flowers, listen to the ocean, be present with wildlife </w:t>
      </w:r>
      <w:r w:rsidR="16C5C26D" w:rsidRPr="01DFD674">
        <w:rPr>
          <w:rFonts w:ascii="Calibri" w:eastAsia="Calibri" w:hAnsi="Calibri" w:cs="Calibri"/>
        </w:rPr>
        <w:t>and other natural sensory experien</w:t>
      </w:r>
      <w:r w:rsidR="58EE92A5" w:rsidRPr="01DFD674">
        <w:rPr>
          <w:rFonts w:ascii="Calibri" w:eastAsia="Calibri" w:hAnsi="Calibri" w:cs="Calibri"/>
        </w:rPr>
        <w:t>ces, with some saying this gave</w:t>
      </w:r>
      <w:r w:rsidR="00353C36">
        <w:rPr>
          <w:rFonts w:ascii="Calibri" w:eastAsia="Calibri" w:hAnsi="Calibri" w:cs="Calibri"/>
        </w:rPr>
        <w:t xml:space="preserve"> them</w:t>
      </w:r>
      <w:r w:rsidR="58EE92A5" w:rsidRPr="01DFD674">
        <w:rPr>
          <w:rFonts w:ascii="Calibri" w:eastAsia="Calibri" w:hAnsi="Calibri" w:cs="Calibri"/>
        </w:rPr>
        <w:t xml:space="preserve"> </w:t>
      </w:r>
      <w:r w:rsidR="003C3AC6">
        <w:rPr>
          <w:rFonts w:ascii="Calibri" w:eastAsia="Calibri" w:hAnsi="Calibri" w:cs="Calibri"/>
        </w:rPr>
        <w:t>‘</w:t>
      </w:r>
      <w:r w:rsidR="16C5C26D" w:rsidRPr="68D394A5">
        <w:rPr>
          <w:rFonts w:ascii="Calibri" w:eastAsia="Calibri" w:hAnsi="Calibri" w:cs="Calibri"/>
        </w:rPr>
        <w:t>a</w:t>
      </w:r>
      <w:r w:rsidR="58EE92A5" w:rsidRPr="01DFD674">
        <w:rPr>
          <w:rFonts w:ascii="Calibri" w:eastAsia="Calibri" w:hAnsi="Calibri" w:cs="Calibri"/>
        </w:rPr>
        <w:t xml:space="preserve"> sense of life</w:t>
      </w:r>
      <w:r w:rsidR="003C3AC6">
        <w:rPr>
          <w:rFonts w:ascii="Calibri" w:eastAsia="Calibri" w:hAnsi="Calibri" w:cs="Calibri"/>
        </w:rPr>
        <w:t>’</w:t>
      </w:r>
      <w:r w:rsidR="58EE92A5" w:rsidRPr="01DFD674">
        <w:rPr>
          <w:rFonts w:ascii="Calibri" w:eastAsia="Calibri" w:hAnsi="Calibri" w:cs="Calibri"/>
        </w:rPr>
        <w:t>.</w:t>
      </w:r>
      <w:r w:rsidR="7006FBBC" w:rsidRPr="7D7AC354">
        <w:rPr>
          <w:rStyle w:val="FootnoteReference"/>
          <w:rFonts w:ascii="Calibri" w:eastAsia="Calibri" w:hAnsi="Calibri" w:cs="Calibri"/>
        </w:rPr>
        <w:footnoteReference w:id="29"/>
      </w:r>
      <w:r w:rsidR="737FDA57" w:rsidRPr="58BF0472">
        <w:rPr>
          <w:rFonts w:ascii="Calibri" w:eastAsia="Calibri" w:hAnsi="Calibri" w:cs="Calibri"/>
        </w:rPr>
        <w:t xml:space="preserve"> To ensure that people living with disability have equal opportunity to </w:t>
      </w:r>
      <w:r w:rsidR="737FDA57" w:rsidRPr="4C0A005D">
        <w:rPr>
          <w:rFonts w:ascii="Calibri" w:eastAsia="Calibri" w:hAnsi="Calibri" w:cs="Calibri"/>
        </w:rPr>
        <w:t xml:space="preserve">engage </w:t>
      </w:r>
      <w:r w:rsidR="11107DC5" w:rsidRPr="4F9B8445">
        <w:rPr>
          <w:rFonts w:ascii="Calibri" w:eastAsia="Calibri" w:hAnsi="Calibri" w:cs="Calibri"/>
        </w:rPr>
        <w:t>with</w:t>
      </w:r>
      <w:r w:rsidR="16C5C26D" w:rsidRPr="4F9B8445">
        <w:rPr>
          <w:rFonts w:ascii="Calibri" w:eastAsia="Calibri" w:hAnsi="Calibri" w:cs="Calibri"/>
        </w:rPr>
        <w:t xml:space="preserve"> and </w:t>
      </w:r>
      <w:r w:rsidR="11107DC5" w:rsidRPr="4F9B8445">
        <w:rPr>
          <w:rFonts w:ascii="Calibri" w:eastAsia="Calibri" w:hAnsi="Calibri" w:cs="Calibri"/>
        </w:rPr>
        <w:t xml:space="preserve">be revitalised by the </w:t>
      </w:r>
      <w:r w:rsidR="16C5C26D" w:rsidRPr="4F9B8445">
        <w:rPr>
          <w:rFonts w:ascii="Calibri" w:eastAsia="Calibri" w:hAnsi="Calibri" w:cs="Calibri"/>
        </w:rPr>
        <w:t xml:space="preserve">natural </w:t>
      </w:r>
      <w:r w:rsidR="11107DC5" w:rsidRPr="4F9B8445">
        <w:rPr>
          <w:rFonts w:ascii="Calibri" w:eastAsia="Calibri" w:hAnsi="Calibri" w:cs="Calibri"/>
        </w:rPr>
        <w:t>world,</w:t>
      </w:r>
      <w:r w:rsidR="16C5C26D" w:rsidRPr="6E1209CD">
        <w:rPr>
          <w:rFonts w:ascii="Calibri" w:eastAsia="Calibri" w:hAnsi="Calibri" w:cs="Calibri"/>
        </w:rPr>
        <w:t xml:space="preserve"> the </w:t>
      </w:r>
      <w:r w:rsidR="11107DC5" w:rsidRPr="4F9B8445">
        <w:rPr>
          <w:rFonts w:ascii="Calibri" w:eastAsia="Calibri" w:hAnsi="Calibri" w:cs="Calibri"/>
        </w:rPr>
        <w:t xml:space="preserve">GARP must recognise the need for </w:t>
      </w:r>
      <w:r w:rsidR="37240288" w:rsidRPr="4F9B8445">
        <w:rPr>
          <w:rFonts w:ascii="Calibri" w:eastAsia="Calibri" w:hAnsi="Calibri" w:cs="Calibri"/>
        </w:rPr>
        <w:t>green</w:t>
      </w:r>
      <w:r w:rsidR="11107DC5" w:rsidRPr="4F9B8445">
        <w:rPr>
          <w:rFonts w:ascii="Calibri" w:eastAsia="Calibri" w:hAnsi="Calibri" w:cs="Calibri"/>
        </w:rPr>
        <w:t xml:space="preserve"> spaces</w:t>
      </w:r>
      <w:r w:rsidR="00353C36">
        <w:rPr>
          <w:rFonts w:ascii="Calibri" w:eastAsia="Calibri" w:hAnsi="Calibri" w:cs="Calibri"/>
        </w:rPr>
        <w:t xml:space="preserve"> within the public realm</w:t>
      </w:r>
      <w:r w:rsidR="11107DC5" w:rsidRPr="4F9B8445">
        <w:rPr>
          <w:rFonts w:ascii="Calibri" w:eastAsia="Calibri" w:hAnsi="Calibri" w:cs="Calibri"/>
        </w:rPr>
        <w:t xml:space="preserve"> to be accessible</w:t>
      </w:r>
      <w:r w:rsidR="00353C36">
        <w:rPr>
          <w:rFonts w:ascii="Calibri" w:eastAsia="Calibri" w:hAnsi="Calibri" w:cs="Calibri"/>
        </w:rPr>
        <w:t xml:space="preserve"> for everyone</w:t>
      </w:r>
      <w:r w:rsidR="11107DC5" w:rsidRPr="4F9B8445">
        <w:rPr>
          <w:rFonts w:ascii="Calibri" w:eastAsia="Calibri" w:hAnsi="Calibri" w:cs="Calibri"/>
        </w:rPr>
        <w:t xml:space="preserve">. </w:t>
      </w:r>
    </w:p>
    <w:p w14:paraId="350D4C2F" w14:textId="7321C671" w:rsidR="4F9B8445" w:rsidRDefault="00353C36" w:rsidP="005E4064">
      <w:pPr>
        <w:spacing w:after="160"/>
        <w:rPr>
          <w:rFonts w:ascii="Calibri" w:eastAsia="Calibri" w:hAnsi="Calibri" w:cs="Calibri"/>
        </w:rPr>
      </w:pPr>
      <w:bookmarkStart w:id="47" w:name="_Hlk150179747"/>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2</w:t>
      </w:r>
      <w:r>
        <w:rPr>
          <w:rStyle w:val="Heading4Char"/>
          <w:rFonts w:ascii="Calibri" w:eastAsia="Calibri" w:hAnsi="Calibri" w:cs="Calibri"/>
          <w:bCs/>
          <w:szCs w:val="24"/>
        </w:rPr>
        <w:t>8</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adopt an expansive vision of the public realm</w:t>
      </w:r>
      <w:r w:rsidR="005B34A6">
        <w:rPr>
          <w:rFonts w:ascii="Calibri" w:eastAsia="Calibri" w:hAnsi="Calibri" w:cs="Calibri"/>
          <w:b/>
          <w:bCs/>
          <w:color w:val="000000" w:themeColor="text1"/>
        </w:rPr>
        <w:t xml:space="preserve"> and recognise the </w:t>
      </w:r>
      <w:r w:rsidR="003462FD">
        <w:rPr>
          <w:rFonts w:ascii="Calibri" w:eastAsia="Calibri" w:hAnsi="Calibri" w:cs="Calibri"/>
          <w:b/>
          <w:bCs/>
          <w:color w:val="000000" w:themeColor="text1"/>
        </w:rPr>
        <w:t xml:space="preserve">critical </w:t>
      </w:r>
      <w:r w:rsidR="005B34A6">
        <w:rPr>
          <w:rFonts w:ascii="Calibri" w:eastAsia="Calibri" w:hAnsi="Calibri" w:cs="Calibri"/>
          <w:b/>
          <w:bCs/>
          <w:color w:val="000000" w:themeColor="text1"/>
        </w:rPr>
        <w:t xml:space="preserve">importance </w:t>
      </w:r>
      <w:r w:rsidR="00177887">
        <w:rPr>
          <w:rFonts w:ascii="Calibri" w:eastAsia="Calibri" w:hAnsi="Calibri" w:cs="Calibri"/>
          <w:b/>
          <w:bCs/>
          <w:color w:val="000000" w:themeColor="text1"/>
        </w:rPr>
        <w:t xml:space="preserve">of making green spaces </w:t>
      </w:r>
      <w:r w:rsidR="00184BDC">
        <w:rPr>
          <w:rFonts w:ascii="Calibri" w:eastAsia="Calibri" w:hAnsi="Calibri" w:cs="Calibri"/>
          <w:b/>
          <w:bCs/>
          <w:color w:val="000000" w:themeColor="text1"/>
        </w:rPr>
        <w:t>accessible to everyone</w:t>
      </w:r>
      <w:r>
        <w:rPr>
          <w:rFonts w:ascii="Calibri" w:eastAsia="Calibri" w:hAnsi="Calibri" w:cs="Calibri"/>
          <w:b/>
          <w:bCs/>
          <w:color w:val="000000" w:themeColor="text1"/>
        </w:rPr>
        <w:t>.</w:t>
      </w:r>
    </w:p>
    <w:bookmarkEnd w:id="47"/>
    <w:p w14:paraId="091D9297" w14:textId="454076C8" w:rsidR="05309F93" w:rsidRDefault="05309F93" w:rsidP="005E4064">
      <w:pPr>
        <w:spacing w:after="160"/>
        <w:rPr>
          <w:rFonts w:ascii="Calibri" w:eastAsia="Calibri" w:hAnsi="Calibri" w:cs="Calibri"/>
        </w:rPr>
      </w:pPr>
    </w:p>
    <w:p w14:paraId="597B08BB" w14:textId="527C3989" w:rsidR="00A850B5" w:rsidRDefault="008F5BEC" w:rsidP="005E4064">
      <w:pPr>
        <w:pStyle w:val="Heading2"/>
        <w:spacing w:after="160" w:line="360" w:lineRule="auto"/>
      </w:pPr>
      <w:bookmarkStart w:id="48" w:name="_Toc150180135"/>
      <w:r>
        <w:t>Making emergency infrastructure accessible</w:t>
      </w:r>
      <w:bookmarkEnd w:id="48"/>
      <w:r>
        <w:t xml:space="preserve"> </w:t>
      </w:r>
    </w:p>
    <w:p w14:paraId="07E08986" w14:textId="784D62CB" w:rsidR="008F5BEC" w:rsidRDefault="1DF7AC3B" w:rsidP="005E4064">
      <w:pPr>
        <w:spacing w:after="160"/>
        <w:rPr>
          <w:rFonts w:eastAsiaTheme="minorEastAsia"/>
        </w:rPr>
      </w:pPr>
      <w:r>
        <w:t>There is growing awareness of the disproportionately high risks that disasters pose for people living with disability. In response, there has been academic and governmental recognition, interstate and internationally, that co-designing, and regularly engaging on, emergency policies and procedures with the disability community is essential for reducing these unacceptable dangers. With</w:t>
      </w:r>
      <w:r w:rsidR="00682A7C">
        <w:t xml:space="preserve"> almost</w:t>
      </w:r>
      <w:r>
        <w:t xml:space="preserve"> one in five Australians living with disability and given the increasing frequency and severity of disasters</w:t>
      </w:r>
      <w:r w:rsidR="006B492A">
        <w:t xml:space="preserve"> and unprecedented events</w:t>
      </w:r>
      <w:r>
        <w:t>, it is essential that the GARP recognises the need to involve people living with disability in</w:t>
      </w:r>
      <w:r w:rsidR="6EC7F054">
        <w:t xml:space="preserve"> the planning of new emergency infrastructure.</w:t>
      </w:r>
      <w:r w:rsidR="00113482">
        <w:t xml:space="preserve"> </w:t>
      </w:r>
      <w:r w:rsidR="001547FF" w:rsidRPr="002309B4">
        <w:rPr>
          <w:rStyle w:val="eop"/>
          <w:rFonts w:eastAsiaTheme="minorEastAsia"/>
          <w:color w:val="000000" w:themeColor="text1"/>
          <w:lang w:val="en-US"/>
        </w:rPr>
        <w:t xml:space="preserve">Co-design is needed </w:t>
      </w:r>
      <w:r w:rsidR="001547FF">
        <w:rPr>
          <w:rStyle w:val="eop"/>
          <w:rFonts w:eastAsiaTheme="minorEastAsia"/>
          <w:color w:val="000000" w:themeColor="text1"/>
          <w:lang w:val="en-US"/>
        </w:rPr>
        <w:t xml:space="preserve">particularly </w:t>
      </w:r>
      <w:r w:rsidR="001547FF" w:rsidRPr="002309B4">
        <w:rPr>
          <w:rStyle w:val="eop"/>
          <w:rFonts w:eastAsiaTheme="minorEastAsia"/>
          <w:color w:val="000000" w:themeColor="text1"/>
          <w:lang w:val="en-US"/>
        </w:rPr>
        <w:t>regarding location and accessibility of evacuation and relief centers.</w:t>
      </w:r>
      <w:r w:rsidR="001547FF">
        <w:rPr>
          <w:rStyle w:val="eop"/>
          <w:rFonts w:eastAsiaTheme="minorEastAsia"/>
          <w:color w:val="000000" w:themeColor="text1"/>
          <w:lang w:val="en-US"/>
        </w:rPr>
        <w:t xml:space="preserve"> </w:t>
      </w:r>
      <w:r w:rsidR="008A64EA">
        <w:t>Existing</w:t>
      </w:r>
      <w:r w:rsidR="00113482">
        <w:t xml:space="preserve"> emergency </w:t>
      </w:r>
      <w:r w:rsidR="008A64EA">
        <w:t xml:space="preserve">refuges should also be assessed for </w:t>
      </w:r>
      <w:r w:rsidR="00D80048">
        <w:t xml:space="preserve">their </w:t>
      </w:r>
      <w:r w:rsidR="008A64EA">
        <w:t>accessibility.</w:t>
      </w:r>
      <w:r w:rsidR="00D80048">
        <w:t xml:space="preserve"> </w:t>
      </w:r>
      <w:r w:rsidR="00837C7C">
        <w:t>So to</w:t>
      </w:r>
      <w:r w:rsidR="00A566E9">
        <w:t>o</w:t>
      </w:r>
      <w:r w:rsidR="00837C7C">
        <w:t xml:space="preserve"> should p</w:t>
      </w:r>
      <w:r w:rsidR="00D80048">
        <w:t xml:space="preserve">rocedures and emergency information channels </w:t>
      </w:r>
      <w:proofErr w:type="gramStart"/>
      <w:r w:rsidR="00D80048">
        <w:t>are</w:t>
      </w:r>
      <w:proofErr w:type="gramEnd"/>
      <w:r w:rsidR="00D80048">
        <w:t xml:space="preserve"> other elements where accessibility has sometimes been overlooked</w:t>
      </w:r>
      <w:r w:rsidR="00DD28D7">
        <w:t>, notwithstanding advancements that were achieved during the Covid-19 pandemic</w:t>
      </w:r>
      <w:r w:rsidR="00D80048">
        <w:t xml:space="preserve">. </w:t>
      </w:r>
    </w:p>
    <w:p w14:paraId="6B7DC527" w14:textId="44DB8E29" w:rsidR="00764D79" w:rsidRDefault="00682A7C" w:rsidP="005E4064">
      <w:pPr>
        <w:spacing w:after="160"/>
        <w:rPr>
          <w:rFonts w:eastAsiaTheme="minorEastAsia"/>
          <w:color w:val="000000" w:themeColor="text1"/>
        </w:rPr>
      </w:pPr>
      <w:proofErr w:type="spellStart"/>
      <w:r w:rsidRPr="002309B4">
        <w:rPr>
          <w:rStyle w:val="normaltextrun"/>
          <w:rFonts w:eastAsiaTheme="minorEastAsia"/>
          <w:color w:val="000000" w:themeColor="text1"/>
          <w:lang w:val="en-US"/>
        </w:rPr>
        <w:t>Recogni</w:t>
      </w:r>
      <w:r>
        <w:rPr>
          <w:rStyle w:val="normaltextrun"/>
          <w:rFonts w:eastAsiaTheme="minorEastAsia"/>
          <w:color w:val="000000" w:themeColor="text1"/>
          <w:lang w:val="en-US"/>
        </w:rPr>
        <w:t>s</w:t>
      </w:r>
      <w:r w:rsidRPr="002309B4">
        <w:rPr>
          <w:rStyle w:val="normaltextrun"/>
          <w:rFonts w:eastAsiaTheme="minorEastAsia"/>
          <w:color w:val="000000" w:themeColor="text1"/>
          <w:lang w:val="en-US"/>
        </w:rPr>
        <w:t>ing</w:t>
      </w:r>
      <w:proofErr w:type="spellEnd"/>
      <w:r w:rsidR="00764D79" w:rsidRPr="002309B4">
        <w:rPr>
          <w:rStyle w:val="normaltextrun"/>
          <w:rFonts w:eastAsiaTheme="minorEastAsia"/>
          <w:color w:val="000000" w:themeColor="text1"/>
          <w:lang w:val="en-US"/>
        </w:rPr>
        <w:t xml:space="preserve"> the need to, at the very least, consult with the disability community regarding </w:t>
      </w:r>
      <w:r w:rsidR="5A164E1E" w:rsidRPr="002309B4">
        <w:rPr>
          <w:rStyle w:val="normaltextrun"/>
          <w:rFonts w:eastAsiaTheme="minorEastAsia"/>
          <w:color w:val="000000" w:themeColor="text1"/>
          <w:lang w:val="en-US"/>
        </w:rPr>
        <w:t xml:space="preserve">planned </w:t>
      </w:r>
      <w:r w:rsidR="00764D79" w:rsidRPr="002309B4">
        <w:rPr>
          <w:rStyle w:val="normaltextrun"/>
          <w:rFonts w:eastAsiaTheme="minorEastAsia"/>
          <w:color w:val="000000" w:themeColor="text1"/>
          <w:lang w:val="en-US"/>
        </w:rPr>
        <w:t xml:space="preserve">emergency infrastructure would </w:t>
      </w:r>
      <w:r w:rsidR="2075833E" w:rsidRPr="002309B4">
        <w:rPr>
          <w:rStyle w:val="normaltextrun"/>
          <w:rFonts w:eastAsiaTheme="minorEastAsia"/>
          <w:color w:val="000000" w:themeColor="text1"/>
          <w:lang w:val="en-US"/>
        </w:rPr>
        <w:t>increase</w:t>
      </w:r>
      <w:r w:rsidR="00764D79" w:rsidRPr="002309B4">
        <w:rPr>
          <w:rStyle w:val="normaltextrun"/>
          <w:rFonts w:eastAsiaTheme="minorEastAsia"/>
          <w:color w:val="000000" w:themeColor="text1"/>
          <w:lang w:val="en-US"/>
        </w:rPr>
        <w:t xml:space="preserve"> compliance with Australia’s international </w:t>
      </w:r>
      <w:r w:rsidR="00764D79" w:rsidRPr="002309B4">
        <w:rPr>
          <w:rStyle w:val="normaltextrun"/>
          <w:rFonts w:eastAsiaTheme="minorEastAsia"/>
          <w:color w:val="000000" w:themeColor="text1"/>
          <w:lang w:val="en-US"/>
        </w:rPr>
        <w:lastRenderedPageBreak/>
        <w:t>obligations. Australia is a signatory to the Sendai Framework for Disaster Risk Reduction 2015 – 2030, and article 7 states:   </w:t>
      </w:r>
    </w:p>
    <w:p w14:paraId="3E7A1BA8" w14:textId="210BBAD9" w:rsidR="4446AE75" w:rsidRPr="00E36730" w:rsidRDefault="00764D79" w:rsidP="005E4064">
      <w:pPr>
        <w:spacing w:after="160"/>
        <w:ind w:left="720"/>
        <w:rPr>
          <w:rFonts w:eastAsiaTheme="minorEastAsia"/>
          <w:iCs/>
          <w:color w:val="000000" w:themeColor="text1"/>
          <w:vertAlign w:val="superscript"/>
          <w:lang w:val="en-US"/>
        </w:rPr>
      </w:pPr>
      <w:r w:rsidRPr="007765E9">
        <w:rPr>
          <w:rStyle w:val="normaltextrun"/>
          <w:rFonts w:eastAsiaTheme="minorEastAsia"/>
          <w:color w:val="000000" w:themeColor="text1"/>
          <w:lang w:val="en-US"/>
        </w:rPr>
        <w:t xml:space="preserve">Governments should engage with relevant stakeholders, including women, children and youth, </w:t>
      </w:r>
      <w:r w:rsidRPr="007765E9">
        <w:rPr>
          <w:rStyle w:val="normaltextrun"/>
          <w:rFonts w:eastAsiaTheme="minorEastAsia"/>
          <w:i/>
          <w:color w:val="000000" w:themeColor="text1"/>
          <w:lang w:val="en-US"/>
        </w:rPr>
        <w:t>persons with disabilities</w:t>
      </w:r>
      <w:r w:rsidRPr="007765E9">
        <w:rPr>
          <w:rStyle w:val="normaltextrun"/>
          <w:rFonts w:eastAsiaTheme="minorEastAsia"/>
          <w:color w:val="000000" w:themeColor="text1"/>
          <w:lang w:val="en-US"/>
        </w:rPr>
        <w:t>, poor people, migrants, indigenous peoples, volunteers, the community of practitioners and older persons</w:t>
      </w:r>
      <w:r w:rsidRPr="007765E9">
        <w:rPr>
          <w:rStyle w:val="normaltextrun"/>
          <w:rFonts w:eastAsiaTheme="minorEastAsia"/>
          <w:i/>
          <w:color w:val="000000" w:themeColor="text1"/>
          <w:lang w:val="en-US"/>
        </w:rPr>
        <w:t xml:space="preserve"> in the design and implementation of policies, plans and standards.</w:t>
      </w:r>
      <w:r w:rsidR="00E36730">
        <w:rPr>
          <w:rStyle w:val="normaltextrun"/>
          <w:rFonts w:eastAsiaTheme="minorEastAsia"/>
          <w:iCs/>
          <w:color w:val="000000" w:themeColor="text1"/>
          <w:lang w:val="en-US"/>
        </w:rPr>
        <w:t xml:space="preserve"> [emphasis added]</w:t>
      </w:r>
    </w:p>
    <w:p w14:paraId="5949F612" w14:textId="78897836" w:rsidR="00764D79" w:rsidRDefault="00764D79" w:rsidP="002309B4">
      <w:pPr>
        <w:spacing w:after="160"/>
        <w:rPr>
          <w:rFonts w:eastAsiaTheme="minorEastAsia"/>
          <w:color w:val="000000" w:themeColor="text1"/>
        </w:rPr>
      </w:pPr>
      <w:r w:rsidRPr="002309B4">
        <w:rPr>
          <w:rStyle w:val="normaltextrun"/>
          <w:rFonts w:eastAsiaTheme="minorEastAsia"/>
          <w:color w:val="000000" w:themeColor="text1"/>
          <w:lang w:val="en-US"/>
        </w:rPr>
        <w:t xml:space="preserve">Meanwhile, Article 11 of the United </w:t>
      </w:r>
      <w:r w:rsidRPr="00E36730">
        <w:rPr>
          <w:rStyle w:val="normaltextrun"/>
          <w:rFonts w:eastAsiaTheme="minorEastAsia"/>
          <w:color w:val="000000" w:themeColor="text1"/>
          <w:lang w:val="en-US"/>
        </w:rPr>
        <w:t>Nations Convention on the Rights of Persons with Disabilities st</w:t>
      </w:r>
      <w:r w:rsidRPr="002309B4">
        <w:rPr>
          <w:rStyle w:val="normaltextrun"/>
          <w:rFonts w:eastAsiaTheme="minorEastAsia"/>
          <w:color w:val="000000" w:themeColor="text1"/>
          <w:lang w:val="en-US"/>
        </w:rPr>
        <w:t>ates:  </w:t>
      </w:r>
    </w:p>
    <w:p w14:paraId="3FFA3438" w14:textId="0BE23E91" w:rsidR="00764D79" w:rsidRDefault="00764D79" w:rsidP="005E4064">
      <w:pPr>
        <w:spacing w:after="160"/>
        <w:ind w:left="720"/>
        <w:rPr>
          <w:rStyle w:val="normaltextrun"/>
          <w:rFonts w:eastAsiaTheme="minorEastAsia"/>
          <w:iCs/>
          <w:color w:val="000000" w:themeColor="text1"/>
          <w:lang w:val="en-US"/>
        </w:rPr>
      </w:pPr>
      <w:r w:rsidRPr="001547FF">
        <w:rPr>
          <w:rStyle w:val="normaltextrun"/>
          <w:rFonts w:eastAsiaTheme="minorEastAsia"/>
          <w:color w:val="000000" w:themeColor="text1"/>
          <w:lang w:val="en-US"/>
        </w:rPr>
        <w:t xml:space="preserve">States Parties shall take, in accordance with their obligations under international law, including international humanitarian law and international human rights law, </w:t>
      </w:r>
      <w:r w:rsidRPr="001547FF">
        <w:rPr>
          <w:rStyle w:val="normaltextrun"/>
          <w:rFonts w:eastAsiaTheme="minorEastAsia"/>
          <w:i/>
          <w:color w:val="000000" w:themeColor="text1"/>
          <w:lang w:val="en-US"/>
        </w:rPr>
        <w:t>all necessary measures</w:t>
      </w:r>
      <w:r w:rsidRPr="001547FF">
        <w:rPr>
          <w:rStyle w:val="normaltextrun"/>
          <w:rFonts w:eastAsiaTheme="minorEastAsia"/>
          <w:color w:val="000000" w:themeColor="text1"/>
          <w:lang w:val="en-US"/>
        </w:rPr>
        <w:t xml:space="preserve"> to ensure </w:t>
      </w:r>
      <w:r w:rsidRPr="001547FF">
        <w:rPr>
          <w:rStyle w:val="normaltextrun"/>
          <w:rFonts w:eastAsiaTheme="minorEastAsia"/>
          <w:i/>
          <w:color w:val="000000" w:themeColor="text1"/>
          <w:lang w:val="en-US"/>
        </w:rPr>
        <w:t>the protection and safety of persons with disabilities</w:t>
      </w:r>
      <w:r w:rsidRPr="001547FF">
        <w:rPr>
          <w:rStyle w:val="normaltextrun"/>
          <w:rFonts w:eastAsiaTheme="minorEastAsia"/>
          <w:color w:val="000000" w:themeColor="text1"/>
          <w:lang w:val="en-US"/>
        </w:rPr>
        <w:t xml:space="preserve"> in situations of risk, including situations of armed conflict, humanitarian emergencies and the occurrence of </w:t>
      </w:r>
      <w:r w:rsidRPr="001547FF">
        <w:rPr>
          <w:rStyle w:val="normaltextrun"/>
          <w:rFonts w:eastAsiaTheme="minorEastAsia"/>
          <w:i/>
          <w:color w:val="000000" w:themeColor="text1"/>
          <w:lang w:val="en-US"/>
        </w:rPr>
        <w:t>natural disasters.</w:t>
      </w:r>
    </w:p>
    <w:p w14:paraId="53E019D2" w14:textId="6B18DB18" w:rsidR="00DD433E" w:rsidRPr="00DD433E" w:rsidRDefault="00DD433E" w:rsidP="00DD433E">
      <w:pPr>
        <w:spacing w:after="160"/>
        <w:rPr>
          <w:rFonts w:eastAsiaTheme="minorEastAsia"/>
          <w:iCs/>
          <w:color w:val="000000" w:themeColor="text1"/>
          <w:vertAlign w:val="superscript"/>
          <w:lang w:val="en-US"/>
        </w:rPr>
      </w:pPr>
      <w:r>
        <w:rPr>
          <w:rStyle w:val="normaltextrun"/>
          <w:rFonts w:eastAsiaTheme="minorEastAsia"/>
          <w:iCs/>
          <w:color w:val="000000" w:themeColor="text1"/>
          <w:lang w:val="en-US"/>
        </w:rPr>
        <w:t>With the rising rate of disasters</w:t>
      </w:r>
      <w:r w:rsidR="00837C7C">
        <w:rPr>
          <w:rStyle w:val="normaltextrun"/>
          <w:rFonts w:eastAsiaTheme="minorEastAsia"/>
          <w:iCs/>
          <w:color w:val="000000" w:themeColor="text1"/>
          <w:lang w:val="en-US"/>
        </w:rPr>
        <w:t xml:space="preserve"> and unprecedented events</w:t>
      </w:r>
      <w:r>
        <w:rPr>
          <w:rStyle w:val="normaltextrun"/>
          <w:rFonts w:eastAsiaTheme="minorEastAsia"/>
          <w:iCs/>
          <w:color w:val="000000" w:themeColor="text1"/>
          <w:lang w:val="en-US"/>
        </w:rPr>
        <w:t xml:space="preserve">, people living with disability must not be overlooked in the essential planning for how communities in Greater Adelaide prepare, respond, and recover from all types of potential emergencies. </w:t>
      </w:r>
    </w:p>
    <w:p w14:paraId="269E693A" w14:textId="73DB271A" w:rsidR="76EE49F3" w:rsidRDefault="00661158" w:rsidP="005E4064">
      <w:pPr>
        <w:spacing w:after="160"/>
      </w:pPr>
      <w:bookmarkStart w:id="49" w:name="_Hlk150179756"/>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2</w:t>
      </w:r>
      <w:r>
        <w:rPr>
          <w:rStyle w:val="Heading4Char"/>
          <w:rFonts w:ascii="Calibri" w:eastAsia="Calibri" w:hAnsi="Calibri" w:cs="Calibri"/>
          <w:bCs/>
          <w:szCs w:val="24"/>
        </w:rPr>
        <w:t>9</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make </w:t>
      </w:r>
      <w:r w:rsidR="00B23742">
        <w:rPr>
          <w:rFonts w:ascii="Calibri" w:eastAsia="Calibri" w:hAnsi="Calibri" w:cs="Calibri"/>
          <w:b/>
          <w:bCs/>
          <w:color w:val="000000" w:themeColor="text1"/>
        </w:rPr>
        <w:t xml:space="preserve">accessible </w:t>
      </w:r>
      <w:r>
        <w:rPr>
          <w:rFonts w:ascii="Calibri" w:eastAsia="Calibri" w:hAnsi="Calibri" w:cs="Calibri"/>
          <w:b/>
          <w:bCs/>
          <w:color w:val="000000" w:themeColor="text1"/>
        </w:rPr>
        <w:t>emergency infrastructure</w:t>
      </w:r>
      <w:r w:rsidR="00B23742">
        <w:rPr>
          <w:rFonts w:ascii="Calibri" w:eastAsia="Calibri" w:hAnsi="Calibri" w:cs="Calibri"/>
          <w:b/>
          <w:bCs/>
          <w:color w:val="000000" w:themeColor="text1"/>
        </w:rPr>
        <w:t xml:space="preserve">, procedures, and information provision </w:t>
      </w:r>
      <w:r>
        <w:rPr>
          <w:rFonts w:ascii="Calibri" w:eastAsia="Calibri" w:hAnsi="Calibri" w:cs="Calibri"/>
          <w:b/>
          <w:bCs/>
          <w:color w:val="000000" w:themeColor="text1"/>
        </w:rPr>
        <w:t>a top priority</w:t>
      </w:r>
      <w:r w:rsidR="00B23742">
        <w:rPr>
          <w:rFonts w:ascii="Calibri" w:eastAsia="Calibri" w:hAnsi="Calibri" w:cs="Calibri"/>
          <w:b/>
          <w:bCs/>
          <w:color w:val="000000" w:themeColor="text1"/>
        </w:rPr>
        <w:t xml:space="preserve"> and include </w:t>
      </w:r>
      <w:r w:rsidR="0024215D">
        <w:rPr>
          <w:rFonts w:ascii="Calibri" w:eastAsia="Calibri" w:hAnsi="Calibri" w:cs="Calibri"/>
          <w:b/>
          <w:bCs/>
          <w:color w:val="000000" w:themeColor="text1"/>
        </w:rPr>
        <w:t>an outcome and targets to achieve this</w:t>
      </w:r>
      <w:r>
        <w:rPr>
          <w:rFonts w:ascii="Calibri" w:eastAsia="Calibri" w:hAnsi="Calibri" w:cs="Calibri"/>
          <w:b/>
          <w:bCs/>
          <w:color w:val="000000" w:themeColor="text1"/>
        </w:rPr>
        <w:t>.</w:t>
      </w:r>
    </w:p>
    <w:bookmarkEnd w:id="49"/>
    <w:p w14:paraId="11391F51" w14:textId="77777777" w:rsidR="00661158" w:rsidRDefault="00661158" w:rsidP="005E4064">
      <w:pPr>
        <w:spacing w:after="160"/>
      </w:pPr>
    </w:p>
    <w:p w14:paraId="0279CB9C" w14:textId="53024FFA" w:rsidR="00791B12" w:rsidRPr="00A850B5" w:rsidRDefault="001B6DA8" w:rsidP="005E4064">
      <w:pPr>
        <w:pStyle w:val="Heading2"/>
        <w:spacing w:after="160" w:line="360" w:lineRule="auto"/>
      </w:pPr>
      <w:bookmarkStart w:id="50" w:name="_Toc150180136"/>
      <w:r>
        <w:t xml:space="preserve">Providing </w:t>
      </w:r>
      <w:r w:rsidR="004956FE">
        <w:t>accurate</w:t>
      </w:r>
      <w:r>
        <w:t xml:space="preserve"> information about accessibility</w:t>
      </w:r>
      <w:bookmarkEnd w:id="50"/>
      <w:r>
        <w:t xml:space="preserve"> </w:t>
      </w:r>
    </w:p>
    <w:p w14:paraId="7B44B45B" w14:textId="18F41689" w:rsidR="001B6DA8" w:rsidRDefault="004921F6" w:rsidP="005E4064">
      <w:pPr>
        <w:spacing w:after="160"/>
        <w:rPr>
          <w:rFonts w:ascii="Calibri" w:eastAsia="Calibri" w:hAnsi="Calibri" w:cs="Calibri"/>
          <w:lang w:val="en-US"/>
        </w:rPr>
      </w:pPr>
      <w:r w:rsidRPr="67216243">
        <w:rPr>
          <w:rFonts w:ascii="Calibri" w:eastAsia="Calibri" w:hAnsi="Calibri" w:cs="Calibri"/>
          <w:lang w:val="en-US"/>
        </w:rPr>
        <w:t>Notwithstanding the urgency of investments in accessible community infrastructure</w:t>
      </w:r>
      <w:r w:rsidR="00465319" w:rsidRPr="67216243">
        <w:rPr>
          <w:rFonts w:ascii="Calibri" w:eastAsia="Calibri" w:hAnsi="Calibri" w:cs="Calibri"/>
          <w:lang w:val="en-US"/>
        </w:rPr>
        <w:t xml:space="preserve">, we </w:t>
      </w:r>
      <w:proofErr w:type="spellStart"/>
      <w:r w:rsidR="00465319" w:rsidRPr="67216243">
        <w:rPr>
          <w:rFonts w:ascii="Calibri" w:eastAsia="Calibri" w:hAnsi="Calibri" w:cs="Calibri"/>
          <w:lang w:val="en-US"/>
        </w:rPr>
        <w:t>recognise</w:t>
      </w:r>
      <w:proofErr w:type="spellEnd"/>
      <w:r w:rsidR="00465319" w:rsidRPr="67216243">
        <w:rPr>
          <w:rFonts w:ascii="Calibri" w:eastAsia="Calibri" w:hAnsi="Calibri" w:cs="Calibri"/>
          <w:lang w:val="en-US"/>
        </w:rPr>
        <w:t xml:space="preserve"> that the extent of change that is needed will not occur overnight. In the meantime, the GARP should </w:t>
      </w:r>
      <w:proofErr w:type="spellStart"/>
      <w:r w:rsidR="00465319" w:rsidRPr="67216243">
        <w:rPr>
          <w:rFonts w:ascii="Calibri" w:eastAsia="Calibri" w:hAnsi="Calibri" w:cs="Calibri"/>
          <w:lang w:val="en-US"/>
        </w:rPr>
        <w:t>prioritise</w:t>
      </w:r>
      <w:proofErr w:type="spellEnd"/>
      <w:r w:rsidR="00465319" w:rsidRPr="67216243">
        <w:rPr>
          <w:rFonts w:ascii="Calibri" w:eastAsia="Calibri" w:hAnsi="Calibri" w:cs="Calibri"/>
          <w:lang w:val="en-US"/>
        </w:rPr>
        <w:t xml:space="preserve"> consideration of </w:t>
      </w:r>
      <w:r w:rsidR="00944C1D" w:rsidRPr="67216243">
        <w:rPr>
          <w:rFonts w:ascii="Calibri" w:eastAsia="Calibri" w:hAnsi="Calibri" w:cs="Calibri"/>
          <w:lang w:val="en-US"/>
        </w:rPr>
        <w:t>new consistent standards for the dissemination o</w:t>
      </w:r>
      <w:r w:rsidR="7FF90D01" w:rsidRPr="67216243">
        <w:rPr>
          <w:rFonts w:ascii="Calibri" w:eastAsia="Calibri" w:hAnsi="Calibri" w:cs="Calibri"/>
          <w:lang w:val="en-US"/>
        </w:rPr>
        <w:t>f</w:t>
      </w:r>
      <w:r w:rsidR="00944C1D" w:rsidRPr="67216243">
        <w:rPr>
          <w:rFonts w:ascii="Calibri" w:eastAsia="Calibri" w:hAnsi="Calibri" w:cs="Calibri"/>
          <w:lang w:val="en-US"/>
        </w:rPr>
        <w:t xml:space="preserve"> information about accessibility across the </w:t>
      </w:r>
      <w:r w:rsidR="0094313B" w:rsidRPr="67216243">
        <w:rPr>
          <w:rFonts w:ascii="Calibri" w:eastAsia="Calibri" w:hAnsi="Calibri" w:cs="Calibri"/>
          <w:lang w:val="en-US"/>
        </w:rPr>
        <w:t>Greater Adelaide region</w:t>
      </w:r>
      <w:r w:rsidR="00944C1D" w:rsidRPr="67216243">
        <w:rPr>
          <w:rFonts w:ascii="Calibri" w:eastAsia="Calibri" w:hAnsi="Calibri" w:cs="Calibri"/>
          <w:lang w:val="en-US"/>
        </w:rPr>
        <w:t xml:space="preserve">. Governments, businesses, </w:t>
      </w:r>
      <w:proofErr w:type="spellStart"/>
      <w:r w:rsidR="00944C1D" w:rsidRPr="67216243">
        <w:rPr>
          <w:rFonts w:ascii="Calibri" w:eastAsia="Calibri" w:hAnsi="Calibri" w:cs="Calibri"/>
          <w:lang w:val="en-US"/>
        </w:rPr>
        <w:t>organisations</w:t>
      </w:r>
      <w:proofErr w:type="spellEnd"/>
      <w:r w:rsidR="00944C1D" w:rsidRPr="67216243">
        <w:rPr>
          <w:rFonts w:ascii="Calibri" w:eastAsia="Calibri" w:hAnsi="Calibri" w:cs="Calibri"/>
          <w:lang w:val="en-US"/>
        </w:rPr>
        <w:t xml:space="preserve">, and management bodies should </w:t>
      </w:r>
      <w:r w:rsidR="00A83B96" w:rsidRPr="67216243">
        <w:rPr>
          <w:rFonts w:ascii="Calibri" w:eastAsia="Calibri" w:hAnsi="Calibri" w:cs="Calibri"/>
          <w:lang w:val="en-US"/>
        </w:rPr>
        <w:t xml:space="preserve">be required to make freely available clear information about what accessibility features exist in their spaces and </w:t>
      </w:r>
      <w:r w:rsidR="0094313B" w:rsidRPr="67216243">
        <w:rPr>
          <w:rFonts w:ascii="Calibri" w:eastAsia="Calibri" w:hAnsi="Calibri" w:cs="Calibri"/>
          <w:lang w:val="en-US"/>
        </w:rPr>
        <w:t xml:space="preserve">what is not accessible according to </w:t>
      </w:r>
      <w:r w:rsidR="00666E42" w:rsidRPr="67216243">
        <w:rPr>
          <w:rFonts w:ascii="Calibri" w:eastAsia="Calibri" w:hAnsi="Calibri" w:cs="Calibri"/>
          <w:lang w:val="en-US"/>
        </w:rPr>
        <w:t xml:space="preserve">a basic framework co-designed by people living with disability. </w:t>
      </w:r>
      <w:r w:rsidR="005F0DAB" w:rsidRPr="67216243">
        <w:rPr>
          <w:rFonts w:ascii="Calibri" w:eastAsia="Calibri" w:hAnsi="Calibri" w:cs="Calibri"/>
          <w:lang w:val="en-US"/>
        </w:rPr>
        <w:t xml:space="preserve">This would make it much easier for people to go about their lives </w:t>
      </w:r>
      <w:r w:rsidR="005F0DAB" w:rsidRPr="67216243">
        <w:rPr>
          <w:rFonts w:ascii="Calibri" w:eastAsia="Calibri" w:hAnsi="Calibri" w:cs="Calibri"/>
          <w:lang w:val="en-US"/>
        </w:rPr>
        <w:lastRenderedPageBreak/>
        <w:t xml:space="preserve">without the excessive </w:t>
      </w:r>
      <w:r w:rsidR="00BF5FF6" w:rsidRPr="67216243">
        <w:rPr>
          <w:rFonts w:ascii="Calibri" w:eastAsia="Calibri" w:hAnsi="Calibri" w:cs="Calibri"/>
          <w:lang w:val="en-US"/>
        </w:rPr>
        <w:t xml:space="preserve">need for research and enquiries (often misleading) to plan their days. It would also encourage people to expand their </w:t>
      </w:r>
      <w:r w:rsidR="00DD51AC" w:rsidRPr="67216243">
        <w:rPr>
          <w:rFonts w:ascii="Calibri" w:eastAsia="Calibri" w:hAnsi="Calibri" w:cs="Calibri"/>
          <w:lang w:val="en-US"/>
        </w:rPr>
        <w:t>horizons and community interactions beyond those places that they already know to be accessible, which is good for businesses and for creating a rich diverse community life in Greater Adelaide.</w:t>
      </w:r>
    </w:p>
    <w:p w14:paraId="61C9834D" w14:textId="41824EA9" w:rsidR="005C1237" w:rsidRDefault="00F82B57" w:rsidP="005E4064">
      <w:pPr>
        <w:spacing w:after="160"/>
      </w:pPr>
      <w:bookmarkStart w:id="51" w:name="_Hlk150179762"/>
      <w:r w:rsidRPr="5F5A6EB0">
        <w:rPr>
          <w:rStyle w:val="Heading4Char"/>
          <w:rFonts w:ascii="Calibri" w:eastAsia="Calibri" w:hAnsi="Calibri" w:cs="Calibri"/>
          <w:bCs/>
          <w:szCs w:val="24"/>
        </w:rPr>
        <w:t>Recommendation</w:t>
      </w:r>
      <w:r>
        <w:rPr>
          <w:rStyle w:val="Heading4Char"/>
          <w:rFonts w:ascii="Calibri" w:eastAsia="Calibri" w:hAnsi="Calibri" w:cs="Calibri"/>
          <w:bCs/>
          <w:szCs w:val="24"/>
        </w:rPr>
        <w:t xml:space="preserve"> </w:t>
      </w:r>
      <w:r w:rsidR="00EC454C">
        <w:rPr>
          <w:rStyle w:val="Heading4Char"/>
          <w:rFonts w:ascii="Calibri" w:eastAsia="Calibri" w:hAnsi="Calibri" w:cs="Calibri"/>
          <w:bCs/>
          <w:szCs w:val="24"/>
        </w:rPr>
        <w:t>3</w:t>
      </w:r>
      <w:r>
        <w:rPr>
          <w:rStyle w:val="Heading4Char"/>
          <w:rFonts w:ascii="Calibri" w:eastAsia="Calibri" w:hAnsi="Calibri" w:cs="Calibri"/>
          <w:bCs/>
          <w:szCs w:val="24"/>
        </w:rPr>
        <w:t>0</w:t>
      </w:r>
      <w:r w:rsidRPr="5F5A6EB0">
        <w:rPr>
          <w:rStyle w:val="Heading4Char"/>
          <w:rFonts w:ascii="Calibri" w:eastAsia="Calibri" w:hAnsi="Calibri" w:cs="Calibri"/>
          <w:bCs/>
          <w:szCs w:val="24"/>
        </w:rPr>
        <w:t>:</w:t>
      </w:r>
      <w:r w:rsidRPr="5F5A6EB0">
        <w:rPr>
          <w:rFonts w:ascii="Calibri" w:eastAsia="Calibri" w:hAnsi="Calibri" w:cs="Calibri"/>
        </w:rPr>
        <w:t xml:space="preserve"> </w:t>
      </w:r>
      <w:r w:rsidRPr="5F5A6EB0">
        <w:rPr>
          <w:rFonts w:ascii="Calibri" w:eastAsia="Calibri" w:hAnsi="Calibri" w:cs="Calibri"/>
          <w:b/>
          <w:bCs/>
          <w:color w:val="000000" w:themeColor="text1"/>
        </w:rPr>
        <w:t xml:space="preserve">The Greater Adelaide Regional Plan </w:t>
      </w:r>
      <w:r>
        <w:rPr>
          <w:rFonts w:ascii="Calibri" w:eastAsia="Calibri" w:hAnsi="Calibri" w:cs="Calibri"/>
          <w:b/>
          <w:bCs/>
          <w:color w:val="000000" w:themeColor="text1"/>
        </w:rPr>
        <w:t xml:space="preserve">(GARP) </w:t>
      </w:r>
      <w:r w:rsidRPr="5F5A6EB0">
        <w:rPr>
          <w:rFonts w:ascii="Calibri" w:eastAsia="Calibri" w:hAnsi="Calibri" w:cs="Calibri"/>
          <w:b/>
          <w:bCs/>
          <w:color w:val="000000" w:themeColor="text1"/>
        </w:rPr>
        <w:t>should</w:t>
      </w:r>
      <w:r>
        <w:rPr>
          <w:rFonts w:ascii="Calibri" w:eastAsia="Calibri" w:hAnsi="Calibri" w:cs="Calibri"/>
          <w:b/>
          <w:bCs/>
          <w:color w:val="000000" w:themeColor="text1"/>
        </w:rPr>
        <w:t xml:space="preserve"> commit </w:t>
      </w:r>
      <w:r w:rsidR="0011632C">
        <w:rPr>
          <w:rFonts w:ascii="Calibri" w:eastAsia="Calibri" w:hAnsi="Calibri" w:cs="Calibri"/>
          <w:b/>
          <w:bCs/>
          <w:color w:val="000000" w:themeColor="text1"/>
        </w:rPr>
        <w:t xml:space="preserve">to an action that requires the co-designing </w:t>
      </w:r>
      <w:r w:rsidR="008B7A5E">
        <w:rPr>
          <w:rFonts w:ascii="Calibri" w:eastAsia="Calibri" w:hAnsi="Calibri" w:cs="Calibri"/>
          <w:b/>
          <w:bCs/>
          <w:color w:val="000000" w:themeColor="text1"/>
        </w:rPr>
        <w:t xml:space="preserve">and implementation </w:t>
      </w:r>
      <w:r w:rsidR="0011632C">
        <w:rPr>
          <w:rFonts w:ascii="Calibri" w:eastAsia="Calibri" w:hAnsi="Calibri" w:cs="Calibri"/>
          <w:b/>
          <w:bCs/>
          <w:color w:val="000000" w:themeColor="text1"/>
        </w:rPr>
        <w:t>of a simple framework</w:t>
      </w:r>
      <w:r w:rsidR="008B7A5E">
        <w:rPr>
          <w:rFonts w:ascii="Calibri" w:eastAsia="Calibri" w:hAnsi="Calibri" w:cs="Calibri"/>
          <w:b/>
          <w:bCs/>
          <w:color w:val="000000" w:themeColor="text1"/>
        </w:rPr>
        <w:t>, definitions,</w:t>
      </w:r>
      <w:r w:rsidR="0011632C">
        <w:rPr>
          <w:rFonts w:ascii="Calibri" w:eastAsia="Calibri" w:hAnsi="Calibri" w:cs="Calibri"/>
          <w:b/>
          <w:bCs/>
          <w:color w:val="000000" w:themeColor="text1"/>
        </w:rPr>
        <w:t xml:space="preserve"> and standards for the provision of information about the accessibility status of</w:t>
      </w:r>
      <w:r w:rsidR="00FF1279">
        <w:rPr>
          <w:rFonts w:ascii="Calibri" w:eastAsia="Calibri" w:hAnsi="Calibri" w:cs="Calibri"/>
          <w:b/>
          <w:bCs/>
          <w:color w:val="000000" w:themeColor="text1"/>
        </w:rPr>
        <w:t xml:space="preserve"> </w:t>
      </w:r>
      <w:r w:rsidR="0011632C">
        <w:rPr>
          <w:rFonts w:ascii="Calibri" w:eastAsia="Calibri" w:hAnsi="Calibri" w:cs="Calibri"/>
          <w:b/>
          <w:bCs/>
          <w:color w:val="000000" w:themeColor="text1"/>
        </w:rPr>
        <w:t>places</w:t>
      </w:r>
      <w:r w:rsidR="00D7029F">
        <w:rPr>
          <w:rFonts w:ascii="Calibri" w:eastAsia="Calibri" w:hAnsi="Calibri" w:cs="Calibri"/>
          <w:b/>
          <w:bCs/>
          <w:color w:val="000000" w:themeColor="text1"/>
        </w:rPr>
        <w:t xml:space="preserve"> </w:t>
      </w:r>
      <w:r w:rsidR="00FF1279">
        <w:rPr>
          <w:rFonts w:ascii="Calibri" w:eastAsia="Calibri" w:hAnsi="Calibri" w:cs="Calibri"/>
          <w:b/>
          <w:bCs/>
          <w:color w:val="000000" w:themeColor="text1"/>
        </w:rPr>
        <w:t xml:space="preserve">and spaces </w:t>
      </w:r>
      <w:r w:rsidR="00D7029F">
        <w:rPr>
          <w:rFonts w:ascii="Calibri" w:eastAsia="Calibri" w:hAnsi="Calibri" w:cs="Calibri"/>
          <w:b/>
          <w:bCs/>
          <w:color w:val="000000" w:themeColor="text1"/>
        </w:rPr>
        <w:t>that can be used by governments, businesses, organ</w:t>
      </w:r>
      <w:r w:rsidR="00986468">
        <w:rPr>
          <w:rFonts w:ascii="Calibri" w:eastAsia="Calibri" w:hAnsi="Calibri" w:cs="Calibri"/>
          <w:b/>
          <w:bCs/>
          <w:color w:val="000000" w:themeColor="text1"/>
        </w:rPr>
        <w:t>i</w:t>
      </w:r>
      <w:r w:rsidR="00D7029F">
        <w:rPr>
          <w:rFonts w:ascii="Calibri" w:eastAsia="Calibri" w:hAnsi="Calibri" w:cs="Calibri"/>
          <w:b/>
          <w:bCs/>
          <w:color w:val="000000" w:themeColor="text1"/>
        </w:rPr>
        <w:t>sations, and others to communicate clear</w:t>
      </w:r>
      <w:r w:rsidR="008B7A5E">
        <w:rPr>
          <w:rFonts w:ascii="Calibri" w:eastAsia="Calibri" w:hAnsi="Calibri" w:cs="Calibri"/>
          <w:b/>
          <w:bCs/>
          <w:color w:val="000000" w:themeColor="text1"/>
        </w:rPr>
        <w:t xml:space="preserve"> consistent information</w:t>
      </w:r>
      <w:r w:rsidR="00986468">
        <w:rPr>
          <w:rFonts w:ascii="Calibri" w:eastAsia="Calibri" w:hAnsi="Calibri" w:cs="Calibri"/>
          <w:b/>
          <w:bCs/>
          <w:color w:val="000000" w:themeColor="text1"/>
        </w:rPr>
        <w:t xml:space="preserve"> </w:t>
      </w:r>
      <w:r w:rsidR="00FF1279">
        <w:rPr>
          <w:rFonts w:ascii="Calibri" w:eastAsia="Calibri" w:hAnsi="Calibri" w:cs="Calibri"/>
          <w:b/>
          <w:bCs/>
          <w:color w:val="000000" w:themeColor="text1"/>
        </w:rPr>
        <w:t>to the public</w:t>
      </w:r>
      <w:r>
        <w:rPr>
          <w:rFonts w:ascii="Calibri" w:eastAsia="Calibri" w:hAnsi="Calibri" w:cs="Calibri"/>
          <w:b/>
          <w:bCs/>
          <w:color w:val="000000" w:themeColor="text1"/>
        </w:rPr>
        <w:t>.</w:t>
      </w:r>
    </w:p>
    <w:bookmarkEnd w:id="51"/>
    <w:bookmarkEnd w:id="0"/>
    <w:p w14:paraId="4F14C098" w14:textId="5E510128" w:rsidR="002C6C92" w:rsidRPr="000D5EC1" w:rsidRDefault="002C6C92" w:rsidP="00EB417E">
      <w:pPr>
        <w:spacing w:after="160"/>
      </w:pPr>
      <w:r>
        <w:br w:type="page"/>
      </w:r>
    </w:p>
    <w:p w14:paraId="03B825DD" w14:textId="34482734" w:rsidR="008B50E9" w:rsidRPr="008B120B" w:rsidRDefault="00C23C74" w:rsidP="00916D7C">
      <w:pPr>
        <w:pStyle w:val="Heading1"/>
        <w:spacing w:after="160" w:line="360" w:lineRule="auto"/>
      </w:pPr>
      <w:bookmarkStart w:id="52" w:name="_Toc150180137"/>
      <w:r w:rsidRPr="008B120B">
        <w:lastRenderedPageBreak/>
        <w:t>Conclusion</w:t>
      </w:r>
      <w:bookmarkEnd w:id="52"/>
    </w:p>
    <w:p w14:paraId="43E8AB6C" w14:textId="428A590A" w:rsidR="005C1237" w:rsidRDefault="00C53A5D" w:rsidP="00916D7C">
      <w:pPr>
        <w:spacing w:after="160"/>
      </w:pPr>
      <w:r>
        <w:t xml:space="preserve">Thank you for the opportunity to contribute a submission toward the development of this important </w:t>
      </w:r>
      <w:r w:rsidR="00F6592D">
        <w:t>p</w:t>
      </w:r>
      <w:r>
        <w:t>lan</w:t>
      </w:r>
      <w:r w:rsidR="00D143CB">
        <w:t xml:space="preserve"> for the Greater Adelaide region</w:t>
      </w:r>
      <w:r>
        <w:t>.</w:t>
      </w:r>
    </w:p>
    <w:p w14:paraId="34616A81" w14:textId="2C982CCE" w:rsidR="00BE425B" w:rsidRDefault="00BE425B" w:rsidP="00916D7C">
      <w:pPr>
        <w:spacing w:after="160"/>
      </w:pPr>
      <w:r>
        <w:t xml:space="preserve">The GARP must include strategies to increase the supply of accessible </w:t>
      </w:r>
      <w:r w:rsidR="002B1FA0">
        <w:t>dwellings</w:t>
      </w:r>
      <w:r>
        <w:t xml:space="preserve"> throughout the region to </w:t>
      </w:r>
      <w:r w:rsidR="002B1FA0">
        <w:t xml:space="preserve">fulfil existing unmet needs and to futureproof housing supply for a rapidly ageing population that increasingly prefers to age-in-place. </w:t>
      </w:r>
      <w:r w:rsidR="00DD433E">
        <w:t xml:space="preserve">It must elevate community places and spaces and the importance of planning and designing for inclusive neighbourhoods alongside its focus on growth for new housing and jobs. </w:t>
      </w:r>
      <w:r w:rsidR="00983FD9">
        <w:t>It</w:t>
      </w:r>
      <w:r w:rsidR="002B1FA0">
        <w:t xml:space="preserve"> should </w:t>
      </w:r>
      <w:r w:rsidR="001B4BD3">
        <w:t>insist that all community and social infrastructure is fully accessible to meet the needs of the whole community including people living with disability, older people, people with short-term injuries, parents with prams, delivery workers, and</w:t>
      </w:r>
      <w:r w:rsidR="00424010">
        <w:t xml:space="preserve"> all</w:t>
      </w:r>
      <w:r w:rsidR="001B4BD3">
        <w:t xml:space="preserve"> others with mobility needs. </w:t>
      </w:r>
      <w:r w:rsidR="00332132">
        <w:t xml:space="preserve">Each of these critical elements that are largely overlooked in the Discussion Paper will pay economic and social dividends far exceeding </w:t>
      </w:r>
      <w:r w:rsidR="00E70D6A">
        <w:t>the effort and resources required to implement them.</w:t>
      </w:r>
    </w:p>
    <w:p w14:paraId="74855219" w14:textId="154FA078" w:rsidR="00DB2545" w:rsidRPr="00916D7C" w:rsidRDefault="00DB2545" w:rsidP="00916D7C">
      <w:pPr>
        <w:spacing w:after="160"/>
        <w:rPr>
          <w:color w:val="000000" w:themeColor="text1"/>
        </w:rPr>
      </w:pPr>
      <w:r>
        <w:t xml:space="preserve">We would like to advise the Commission of our eagerness to participate in further opportunities to shape the draft </w:t>
      </w:r>
      <w:r w:rsidR="00F6592D">
        <w:t>GARP</w:t>
      </w:r>
      <w:r>
        <w:t xml:space="preserve">. We are very keen to meet with the team </w:t>
      </w:r>
      <w:r w:rsidR="00815026">
        <w:t xml:space="preserve">working on </w:t>
      </w:r>
      <w:r w:rsidR="0005726D">
        <w:t xml:space="preserve">developing </w:t>
      </w:r>
      <w:r w:rsidR="00815026">
        <w:t xml:space="preserve">the </w:t>
      </w:r>
      <w:r w:rsidR="00F6592D">
        <w:t>p</w:t>
      </w:r>
      <w:r w:rsidR="00815026">
        <w:t xml:space="preserve">lan </w:t>
      </w:r>
      <w:r>
        <w:t xml:space="preserve">to discuss </w:t>
      </w:r>
      <w:r w:rsidR="00815026">
        <w:t>our</w:t>
      </w:r>
      <w:r>
        <w:t xml:space="preserve"> submission</w:t>
      </w:r>
      <w:r w:rsidR="00815026">
        <w:t xml:space="preserve"> and </w:t>
      </w:r>
      <w:r w:rsidR="00A41F05">
        <w:t xml:space="preserve">answer any questions you </w:t>
      </w:r>
      <w:r w:rsidR="00D9248B">
        <w:t>may</w:t>
      </w:r>
      <w:r w:rsidR="00A41F05">
        <w:t xml:space="preserve"> have</w:t>
      </w:r>
      <w:r>
        <w:t xml:space="preserve">. </w:t>
      </w:r>
      <w:r w:rsidR="00831E8E">
        <w:t xml:space="preserve">We invite you to arrange this by </w:t>
      </w:r>
      <w:r w:rsidRPr="00FB21D3">
        <w:t>contact</w:t>
      </w:r>
      <w:r w:rsidR="00831E8E">
        <w:t>ing</w:t>
      </w:r>
      <w:r w:rsidRPr="00FB21D3">
        <w:t xml:space="preserve"> Mr Robbi Williams, CEO of JFA Purple Orange, on (08) 8373 8302 or</w:t>
      </w:r>
      <w:r w:rsidR="00D9248B">
        <w:t xml:space="preserve"> via email at</w:t>
      </w:r>
      <w:r w:rsidRPr="00FB21D3">
        <w:t xml:space="preserve"> </w:t>
      </w:r>
      <w:hyperlink r:id="rId14" w:history="1">
        <w:r w:rsidRPr="009F4BC5">
          <w:rPr>
            <w:rStyle w:val="Hyperlink"/>
          </w:rPr>
          <w:t>robbiw@purpleorange.org.au</w:t>
        </w:r>
      </w:hyperlink>
      <w:r w:rsidRPr="00FB21D3">
        <w:t>.</w:t>
      </w:r>
    </w:p>
    <w:p w14:paraId="50052DC4" w14:textId="77777777" w:rsidR="006F5594" w:rsidRPr="008B120B" w:rsidRDefault="006F5594" w:rsidP="00916D7C">
      <w:pPr>
        <w:spacing w:after="160"/>
      </w:pPr>
    </w:p>
    <w:p w14:paraId="71B9A8BE" w14:textId="703BB377" w:rsidR="00C418A0" w:rsidRDefault="00C418A0">
      <w:pPr>
        <w:spacing w:after="200" w:line="276" w:lineRule="auto"/>
      </w:pPr>
      <w:r>
        <w:br w:type="page"/>
      </w:r>
    </w:p>
    <w:p w14:paraId="1E7E27F0" w14:textId="0EF13CA8" w:rsidR="00BA1444" w:rsidRPr="008B120B" w:rsidRDefault="003C32B2" w:rsidP="00D31666">
      <w:pPr>
        <w:pStyle w:val="Heading1"/>
        <w:spacing w:after="160"/>
      </w:pPr>
      <w:bookmarkStart w:id="53" w:name="_Toc150180138"/>
      <w:r w:rsidRPr="008B120B">
        <w:lastRenderedPageBreak/>
        <w:t>Appendi</w:t>
      </w:r>
      <w:r w:rsidR="00CF5A51">
        <w:t>x A – Draft Accessible Housing Overlay</w:t>
      </w:r>
      <w:r w:rsidR="000514AF">
        <w:t xml:space="preserve"> </w:t>
      </w:r>
      <w:r w:rsidR="008B4C5E">
        <w:t xml:space="preserve">Code </w:t>
      </w:r>
      <w:r w:rsidR="000514AF">
        <w:t>Am</w:t>
      </w:r>
      <w:r w:rsidR="008B4C5E">
        <w:t>endment</w:t>
      </w:r>
      <w:r w:rsidR="00312DA8">
        <w:t xml:space="preserve"> (</w:t>
      </w:r>
      <w:r w:rsidR="00C4536A">
        <w:t>SA Planning and Design Code)</w:t>
      </w:r>
      <w:bookmarkEnd w:id="53"/>
    </w:p>
    <w:p w14:paraId="722819E2" w14:textId="5EF98B24" w:rsidR="00D75F82" w:rsidRPr="000A5309" w:rsidRDefault="000A5309" w:rsidP="00D75F82">
      <w:pPr>
        <w:spacing w:before="160" w:after="160" w:line="240" w:lineRule="auto"/>
      </w:pPr>
      <w:r>
        <w:t>Insert:</w:t>
      </w:r>
    </w:p>
    <w:p w14:paraId="68CED1B1" w14:textId="52BB2FDD" w:rsidR="003C32B2" w:rsidRPr="00332E4C" w:rsidRDefault="00240AF7" w:rsidP="00D75F82">
      <w:pPr>
        <w:spacing w:before="160" w:after="160"/>
        <w:rPr>
          <w:b/>
          <w:bCs/>
        </w:rPr>
      </w:pPr>
      <w:r w:rsidRPr="00332E4C">
        <w:rPr>
          <w:b/>
          <w:bCs/>
        </w:rPr>
        <w:t>Accessible Housing Overlay</w:t>
      </w:r>
    </w:p>
    <w:p w14:paraId="1F0B60F8" w14:textId="1A5FE470" w:rsidR="00240AF7" w:rsidRDefault="00240AF7" w:rsidP="00916D7C">
      <w:pPr>
        <w:spacing w:after="160"/>
        <w:rPr>
          <w:b/>
          <w:bCs/>
        </w:rPr>
      </w:pPr>
      <w:r w:rsidRPr="00332E4C">
        <w:rPr>
          <w:b/>
          <w:bCs/>
        </w:rPr>
        <w:t>Assessment Provisions (AP)</w:t>
      </w:r>
    </w:p>
    <w:p w14:paraId="5ABF71F2" w14:textId="39415ED4" w:rsidR="00332E4C" w:rsidRDefault="00332E4C" w:rsidP="00916D7C">
      <w:pPr>
        <w:spacing w:after="160"/>
      </w:pPr>
      <w:r>
        <w:t>Desired Outcome (DO)</w:t>
      </w:r>
    </w:p>
    <w:tbl>
      <w:tblPr>
        <w:tblStyle w:val="TableGrid"/>
        <w:tblW w:w="0" w:type="auto"/>
        <w:tblCellMar>
          <w:top w:w="108" w:type="dxa"/>
          <w:bottom w:w="108" w:type="dxa"/>
        </w:tblCellMar>
        <w:tblLook w:val="04A0" w:firstRow="1" w:lastRow="0" w:firstColumn="1" w:lastColumn="0" w:noHBand="0" w:noVBand="1"/>
      </w:tblPr>
      <w:tblGrid>
        <w:gridCol w:w="988"/>
        <w:gridCol w:w="8028"/>
      </w:tblGrid>
      <w:tr w:rsidR="008A083E" w14:paraId="78FB3DAF" w14:textId="77777777" w:rsidTr="008A083E">
        <w:tc>
          <w:tcPr>
            <w:tcW w:w="9016" w:type="dxa"/>
            <w:gridSpan w:val="2"/>
            <w:shd w:val="clear" w:color="auto" w:fill="808080" w:themeFill="background1" w:themeFillShade="80"/>
            <w:vAlign w:val="center"/>
          </w:tcPr>
          <w:p w14:paraId="2F0F4C9F" w14:textId="7BE45800" w:rsidR="008A083E" w:rsidRPr="008A083E" w:rsidRDefault="004F57EF" w:rsidP="004F57EF">
            <w:pPr>
              <w:spacing w:line="240" w:lineRule="auto"/>
              <w:jc w:val="center"/>
              <w:rPr>
                <w:b/>
                <w:bCs/>
                <w:color w:val="FFFFFF" w:themeColor="background1"/>
              </w:rPr>
            </w:pPr>
            <w:r>
              <w:rPr>
                <w:b/>
                <w:bCs/>
                <w:color w:val="FFFFFF" w:themeColor="background1"/>
              </w:rPr>
              <w:t>Desired Outcome</w:t>
            </w:r>
          </w:p>
        </w:tc>
      </w:tr>
      <w:tr w:rsidR="00C57A73" w14:paraId="5A210B3D" w14:textId="77777777" w:rsidTr="004F57EF">
        <w:tc>
          <w:tcPr>
            <w:tcW w:w="988" w:type="dxa"/>
          </w:tcPr>
          <w:p w14:paraId="597A5F2E" w14:textId="21F9560E" w:rsidR="00C57A73" w:rsidRDefault="004F57EF" w:rsidP="004F57EF">
            <w:pPr>
              <w:spacing w:line="240" w:lineRule="auto"/>
            </w:pPr>
            <w:r>
              <w:t>DO 1</w:t>
            </w:r>
          </w:p>
        </w:tc>
        <w:tc>
          <w:tcPr>
            <w:tcW w:w="8028" w:type="dxa"/>
          </w:tcPr>
          <w:p w14:paraId="46A2443F" w14:textId="312BF96C" w:rsidR="00C57A73" w:rsidRDefault="00E876BE" w:rsidP="004F57EF">
            <w:pPr>
              <w:spacing w:line="240" w:lineRule="auto"/>
            </w:pPr>
            <w:r>
              <w:t>H</w:t>
            </w:r>
            <w:r w:rsidR="00DB3FEC">
              <w:t>ousing</w:t>
            </w:r>
            <w:r>
              <w:t xml:space="preserve"> that is accessible to, and </w:t>
            </w:r>
            <w:r w:rsidR="00582954">
              <w:t xml:space="preserve">readily </w:t>
            </w:r>
            <w:r>
              <w:t>adaptable for, a range o</w:t>
            </w:r>
            <w:r w:rsidR="000D39F3">
              <w:t>f</w:t>
            </w:r>
            <w:r>
              <w:t xml:space="preserve"> </w:t>
            </w:r>
            <w:r w:rsidR="007450BC">
              <w:t xml:space="preserve">occupant and visitor </w:t>
            </w:r>
            <w:r w:rsidR="003A1AE2">
              <w:t xml:space="preserve">useability </w:t>
            </w:r>
            <w:r w:rsidR="007450BC">
              <w:t>needs</w:t>
            </w:r>
            <w:r w:rsidR="001C559E">
              <w:t xml:space="preserve"> is</w:t>
            </w:r>
            <w:r w:rsidR="00CA1F34">
              <w:t xml:space="preserve"> assured and promoted</w:t>
            </w:r>
            <w:r w:rsidR="007450BC">
              <w:t>.</w:t>
            </w:r>
          </w:p>
        </w:tc>
      </w:tr>
      <w:tr w:rsidR="00C92D23" w14:paraId="0CC86325" w14:textId="77777777" w:rsidTr="004F57EF">
        <w:tc>
          <w:tcPr>
            <w:tcW w:w="988" w:type="dxa"/>
          </w:tcPr>
          <w:p w14:paraId="6FF68AEC" w14:textId="5510511B" w:rsidR="00C92D23" w:rsidRDefault="007E619D" w:rsidP="004F57EF">
            <w:pPr>
              <w:spacing w:line="240" w:lineRule="auto"/>
            </w:pPr>
            <w:r>
              <w:t>DO 2</w:t>
            </w:r>
          </w:p>
        </w:tc>
        <w:tc>
          <w:tcPr>
            <w:tcW w:w="8028" w:type="dxa"/>
          </w:tcPr>
          <w:p w14:paraId="603C8508" w14:textId="0582C099" w:rsidR="00C92D23" w:rsidRDefault="004422ED" w:rsidP="004F57EF">
            <w:pPr>
              <w:spacing w:line="240" w:lineRule="auto"/>
            </w:pPr>
            <w:r>
              <w:t>High-quality accessible housing design</w:t>
            </w:r>
            <w:r w:rsidR="009504DB">
              <w:t xml:space="preserve"> and construction</w:t>
            </w:r>
            <w:r>
              <w:t xml:space="preserve"> is assured and promoted</w:t>
            </w:r>
            <w:r w:rsidR="004A5138">
              <w:t>.</w:t>
            </w:r>
          </w:p>
        </w:tc>
      </w:tr>
      <w:tr w:rsidR="004A5138" w14:paraId="4FE2720E" w14:textId="77777777" w:rsidTr="004F57EF">
        <w:tc>
          <w:tcPr>
            <w:tcW w:w="988" w:type="dxa"/>
          </w:tcPr>
          <w:p w14:paraId="02757E0E" w14:textId="21E2D61E" w:rsidR="004A5138" w:rsidRDefault="007E619D" w:rsidP="004F57EF">
            <w:pPr>
              <w:spacing w:line="240" w:lineRule="auto"/>
            </w:pPr>
            <w:r>
              <w:t>DO 3</w:t>
            </w:r>
          </w:p>
        </w:tc>
        <w:tc>
          <w:tcPr>
            <w:tcW w:w="8028" w:type="dxa"/>
          </w:tcPr>
          <w:p w14:paraId="7071915C" w14:textId="2E90DEC4" w:rsidR="004A5138" w:rsidRDefault="002109C2" w:rsidP="004F57EF">
            <w:pPr>
              <w:spacing w:line="240" w:lineRule="auto"/>
            </w:pPr>
            <w:r>
              <w:t>A</w:t>
            </w:r>
            <w:r w:rsidR="00E03D1E">
              <w:t>ccessible housing</w:t>
            </w:r>
            <w:r w:rsidR="004A5138">
              <w:t xml:space="preserve"> </w:t>
            </w:r>
            <w:r w:rsidR="00E10E78">
              <w:t xml:space="preserve">that </w:t>
            </w:r>
            <w:proofErr w:type="gramStart"/>
            <w:r>
              <w:t>is located in</w:t>
            </w:r>
            <w:proofErr w:type="gramEnd"/>
            <w:r>
              <w:t xml:space="preserve"> </w:t>
            </w:r>
            <w:proofErr w:type="gramStart"/>
            <w:r w:rsidR="00E10E78">
              <w:t xml:space="preserve">close </w:t>
            </w:r>
            <w:r>
              <w:t>proximity</w:t>
            </w:r>
            <w:proofErr w:type="gramEnd"/>
            <w:r>
              <w:t xml:space="preserve"> t</w:t>
            </w:r>
            <w:r w:rsidR="004A5138">
              <w:t>o accessible community infrastructure, including, but not limited to</w:t>
            </w:r>
            <w:r w:rsidR="00E03D1E">
              <w:t>,</w:t>
            </w:r>
            <w:r w:rsidR="004A5138">
              <w:t xml:space="preserve"> public transport</w:t>
            </w:r>
            <w:r w:rsidR="00943921">
              <w:t>, healthcare, and education</w:t>
            </w:r>
            <w:r w:rsidR="00E10E78">
              <w:t>, is assured and promoted</w:t>
            </w:r>
            <w:r w:rsidR="00F37472">
              <w:t>.</w:t>
            </w:r>
          </w:p>
        </w:tc>
      </w:tr>
      <w:tr w:rsidR="00582954" w14:paraId="695D9E59" w14:textId="77777777" w:rsidTr="004F57EF">
        <w:tc>
          <w:tcPr>
            <w:tcW w:w="988" w:type="dxa"/>
          </w:tcPr>
          <w:p w14:paraId="0F9F1920" w14:textId="3C1A9652" w:rsidR="00582954" w:rsidRDefault="00582954" w:rsidP="00582954">
            <w:pPr>
              <w:spacing w:line="240" w:lineRule="auto"/>
            </w:pPr>
            <w:r>
              <w:t xml:space="preserve">DO </w:t>
            </w:r>
            <w:r w:rsidR="007E619D">
              <w:t>4</w:t>
            </w:r>
          </w:p>
        </w:tc>
        <w:tc>
          <w:tcPr>
            <w:tcW w:w="8028" w:type="dxa"/>
          </w:tcPr>
          <w:p w14:paraId="6593923A" w14:textId="0D451442" w:rsidR="00582954" w:rsidRDefault="00783423" w:rsidP="00582954">
            <w:pPr>
              <w:spacing w:line="240" w:lineRule="auto"/>
            </w:pPr>
            <w:r>
              <w:t>Accessible h</w:t>
            </w:r>
            <w:r w:rsidR="00703E6B">
              <w:t>ousing that positively contributes to the liveability and inclusiveness of neighbourhoods is assured and promoted.</w:t>
            </w:r>
          </w:p>
        </w:tc>
      </w:tr>
      <w:tr w:rsidR="009E1309" w14:paraId="175A0EE9" w14:textId="77777777" w:rsidTr="004F57EF">
        <w:tc>
          <w:tcPr>
            <w:tcW w:w="988" w:type="dxa"/>
          </w:tcPr>
          <w:p w14:paraId="57734A38" w14:textId="77249090" w:rsidR="009E1309" w:rsidRDefault="009E1309" w:rsidP="00582954">
            <w:pPr>
              <w:spacing w:line="240" w:lineRule="auto"/>
            </w:pPr>
            <w:r>
              <w:t>DO 5</w:t>
            </w:r>
          </w:p>
        </w:tc>
        <w:tc>
          <w:tcPr>
            <w:tcW w:w="8028" w:type="dxa"/>
          </w:tcPr>
          <w:p w14:paraId="7CF32832" w14:textId="74F638C4" w:rsidR="009E1309" w:rsidRDefault="009E1309" w:rsidP="00582954">
            <w:pPr>
              <w:spacing w:line="240" w:lineRule="auto"/>
            </w:pPr>
            <w:r>
              <w:t xml:space="preserve">Accessible </w:t>
            </w:r>
            <w:r w:rsidRPr="009E1309">
              <w:t>housing</w:t>
            </w:r>
            <w:r w:rsidR="00DD433E">
              <w:t xml:space="preserve"> is</w:t>
            </w:r>
            <w:r w:rsidRPr="009E1309">
              <w:t xml:space="preserve"> suited to a range of incomes including households with low to moderate incomes</w:t>
            </w:r>
            <w:r>
              <w:t>.</w:t>
            </w:r>
          </w:p>
        </w:tc>
      </w:tr>
      <w:tr w:rsidR="00582954" w14:paraId="31E9D719" w14:textId="77777777" w:rsidTr="004F57EF">
        <w:tc>
          <w:tcPr>
            <w:tcW w:w="988" w:type="dxa"/>
          </w:tcPr>
          <w:p w14:paraId="40B901A5" w14:textId="2B0F8BB6" w:rsidR="00582954" w:rsidRDefault="00582954" w:rsidP="00582954">
            <w:pPr>
              <w:spacing w:line="240" w:lineRule="auto"/>
            </w:pPr>
            <w:r>
              <w:t xml:space="preserve">DO </w:t>
            </w:r>
            <w:r w:rsidR="009E1309">
              <w:t>6</w:t>
            </w:r>
          </w:p>
        </w:tc>
        <w:tc>
          <w:tcPr>
            <w:tcW w:w="8028" w:type="dxa"/>
          </w:tcPr>
          <w:p w14:paraId="1480F2A8" w14:textId="2381A490" w:rsidR="00582954" w:rsidRDefault="00703E6B" w:rsidP="00582954">
            <w:pPr>
              <w:spacing w:line="240" w:lineRule="auto"/>
            </w:pPr>
            <w:r>
              <w:t>Accessible housing that enables ageing in place is assured and promoted.</w:t>
            </w:r>
          </w:p>
        </w:tc>
      </w:tr>
      <w:tr w:rsidR="006479CB" w14:paraId="7596D199" w14:textId="77777777" w:rsidTr="004F57EF">
        <w:tc>
          <w:tcPr>
            <w:tcW w:w="988" w:type="dxa"/>
          </w:tcPr>
          <w:p w14:paraId="1F20153C" w14:textId="6743DBF0" w:rsidR="006479CB" w:rsidRDefault="007E619D" w:rsidP="00582954">
            <w:pPr>
              <w:spacing w:line="240" w:lineRule="auto"/>
            </w:pPr>
            <w:r>
              <w:t xml:space="preserve">DO </w:t>
            </w:r>
            <w:r w:rsidR="009E1309">
              <w:t>7</w:t>
            </w:r>
          </w:p>
        </w:tc>
        <w:tc>
          <w:tcPr>
            <w:tcW w:w="8028" w:type="dxa"/>
          </w:tcPr>
          <w:p w14:paraId="2CDB569F" w14:textId="12463E20" w:rsidR="006479CB" w:rsidRDefault="00CA3B60" w:rsidP="00582954">
            <w:pPr>
              <w:spacing w:line="240" w:lineRule="auto"/>
            </w:pPr>
            <w:r>
              <w:t>Accessible housing caters for a variety of household structures.</w:t>
            </w:r>
          </w:p>
        </w:tc>
      </w:tr>
    </w:tbl>
    <w:p w14:paraId="15751977" w14:textId="77777777" w:rsidR="00D75F82" w:rsidRDefault="00D75F82" w:rsidP="00916D7C">
      <w:pPr>
        <w:spacing w:after="160"/>
      </w:pPr>
    </w:p>
    <w:p w14:paraId="6BF0FAF1" w14:textId="5E295394" w:rsidR="00C57A73" w:rsidRDefault="00D6186E" w:rsidP="00916D7C">
      <w:pPr>
        <w:spacing w:after="160"/>
      </w:pPr>
      <w:r w:rsidRPr="0015550A">
        <w:t>Performance Outcomes (PO) and Deemed-to-Satisfy (DTS) Criteria / Designated</w:t>
      </w:r>
      <w:r w:rsidR="00A921B1" w:rsidRPr="0015550A">
        <w:t xml:space="preserve"> </w:t>
      </w:r>
      <w:r w:rsidRPr="0015550A">
        <w:t>Performance Feature (DPF)</w:t>
      </w:r>
    </w:p>
    <w:tbl>
      <w:tblPr>
        <w:tblStyle w:val="TableGrid"/>
        <w:tblW w:w="0" w:type="auto"/>
        <w:tblCellMar>
          <w:top w:w="108" w:type="dxa"/>
          <w:bottom w:w="108" w:type="dxa"/>
        </w:tblCellMar>
        <w:tblLook w:val="04A0" w:firstRow="1" w:lastRow="0" w:firstColumn="1" w:lastColumn="0" w:noHBand="0" w:noVBand="1"/>
      </w:tblPr>
      <w:tblGrid>
        <w:gridCol w:w="4508"/>
        <w:gridCol w:w="4508"/>
      </w:tblGrid>
      <w:tr w:rsidR="00FB7689" w14:paraId="4A2723A3" w14:textId="77777777" w:rsidTr="008B38EB">
        <w:trPr>
          <w:cantSplit/>
        </w:trPr>
        <w:tc>
          <w:tcPr>
            <w:tcW w:w="4508" w:type="dxa"/>
            <w:shd w:val="clear" w:color="auto" w:fill="808080" w:themeFill="background1" w:themeFillShade="80"/>
          </w:tcPr>
          <w:p w14:paraId="7A0AA2C4" w14:textId="5313F891" w:rsidR="00FB7689" w:rsidRPr="00990A52" w:rsidRDefault="00990A52" w:rsidP="00990A52">
            <w:pPr>
              <w:spacing w:line="240" w:lineRule="auto"/>
              <w:jc w:val="center"/>
              <w:rPr>
                <w:b/>
                <w:bCs/>
                <w:color w:val="FFFFFF" w:themeColor="background1"/>
              </w:rPr>
            </w:pPr>
            <w:r w:rsidRPr="00990A52">
              <w:rPr>
                <w:b/>
                <w:bCs/>
                <w:color w:val="FFFFFF" w:themeColor="background1"/>
              </w:rPr>
              <w:t>Performance Outcome</w:t>
            </w:r>
          </w:p>
        </w:tc>
        <w:tc>
          <w:tcPr>
            <w:tcW w:w="4508" w:type="dxa"/>
            <w:shd w:val="clear" w:color="auto" w:fill="808080" w:themeFill="background1" w:themeFillShade="80"/>
          </w:tcPr>
          <w:p w14:paraId="051322B5" w14:textId="4F7BEBE0" w:rsidR="00FB7689" w:rsidRPr="00990A52" w:rsidRDefault="00DA50C6" w:rsidP="00990A52">
            <w:pPr>
              <w:spacing w:line="240" w:lineRule="auto"/>
              <w:jc w:val="center"/>
              <w:rPr>
                <w:b/>
                <w:bCs/>
                <w:color w:val="FFFFFF" w:themeColor="background1"/>
              </w:rPr>
            </w:pPr>
            <w:r w:rsidRPr="00DA50C6">
              <w:rPr>
                <w:b/>
                <w:bCs/>
                <w:color w:val="FFFFFF" w:themeColor="background1"/>
              </w:rPr>
              <w:t>Deemed-to-Satisfy Criteria / Designated Performance Feature</w:t>
            </w:r>
          </w:p>
        </w:tc>
      </w:tr>
      <w:tr w:rsidR="00552D5F" w14:paraId="49C01BCC" w14:textId="77777777" w:rsidTr="008B38EB">
        <w:trPr>
          <w:cantSplit/>
        </w:trPr>
        <w:tc>
          <w:tcPr>
            <w:tcW w:w="9016" w:type="dxa"/>
            <w:gridSpan w:val="2"/>
          </w:tcPr>
          <w:p w14:paraId="3DCBAD32" w14:textId="4E3BEBBF" w:rsidR="00552D5F" w:rsidRDefault="00A17E12" w:rsidP="00A17E12">
            <w:pPr>
              <w:spacing w:line="240" w:lineRule="auto"/>
              <w:jc w:val="center"/>
            </w:pPr>
            <w:r w:rsidRPr="00A17E12">
              <w:t>Land Division</w:t>
            </w:r>
          </w:p>
        </w:tc>
      </w:tr>
      <w:tr w:rsidR="00FB7689" w14:paraId="37AD4F3D" w14:textId="77777777" w:rsidTr="008B38EB">
        <w:trPr>
          <w:cantSplit/>
        </w:trPr>
        <w:tc>
          <w:tcPr>
            <w:tcW w:w="4508" w:type="dxa"/>
          </w:tcPr>
          <w:p w14:paraId="6B1AEFDC" w14:textId="77777777" w:rsidR="00AB2218" w:rsidRDefault="00AB2218" w:rsidP="00AB2218">
            <w:pPr>
              <w:spacing w:line="240" w:lineRule="auto"/>
            </w:pPr>
            <w:r>
              <w:t>PO 1.1</w:t>
            </w:r>
          </w:p>
          <w:p w14:paraId="69F749A2" w14:textId="114497EE" w:rsidR="00FB7689" w:rsidRDefault="00AB2218" w:rsidP="00AB2218">
            <w:pPr>
              <w:spacing w:line="240" w:lineRule="auto"/>
            </w:pPr>
            <w:r>
              <w:t>Development comprising 10 or more dwellings / allotments incorporates a</w:t>
            </w:r>
            <w:r w:rsidR="00732533">
              <w:t>ccessible</w:t>
            </w:r>
            <w:r>
              <w:t xml:space="preserve"> housing.</w:t>
            </w:r>
          </w:p>
        </w:tc>
        <w:tc>
          <w:tcPr>
            <w:tcW w:w="4508" w:type="dxa"/>
          </w:tcPr>
          <w:p w14:paraId="6A79505F" w14:textId="77777777" w:rsidR="00AB2218" w:rsidRDefault="00AB2218" w:rsidP="00AB2218">
            <w:pPr>
              <w:spacing w:line="240" w:lineRule="auto"/>
            </w:pPr>
            <w:r>
              <w:t>DTS/DPF 1.1</w:t>
            </w:r>
          </w:p>
          <w:p w14:paraId="4ED0B49A" w14:textId="79F18418" w:rsidR="00FB7689" w:rsidRDefault="00AB2218" w:rsidP="00AB2218">
            <w:pPr>
              <w:spacing w:line="240" w:lineRule="auto"/>
            </w:pPr>
            <w:r>
              <w:t>Development results in 0-9 additional allotments / dwellings.</w:t>
            </w:r>
          </w:p>
        </w:tc>
      </w:tr>
      <w:tr w:rsidR="00FB7689" w14:paraId="38FD35A2" w14:textId="77777777" w:rsidTr="008B38EB">
        <w:trPr>
          <w:cantSplit/>
        </w:trPr>
        <w:tc>
          <w:tcPr>
            <w:tcW w:w="4508" w:type="dxa"/>
          </w:tcPr>
          <w:p w14:paraId="7A331378" w14:textId="77777777" w:rsidR="00933B45" w:rsidRDefault="00933B45" w:rsidP="00933B45">
            <w:pPr>
              <w:spacing w:line="240" w:lineRule="auto"/>
            </w:pPr>
            <w:r>
              <w:lastRenderedPageBreak/>
              <w:t>PO 1.2</w:t>
            </w:r>
          </w:p>
          <w:p w14:paraId="0EC5A217" w14:textId="4FE6D63E" w:rsidR="00FB7689" w:rsidRDefault="00933B45" w:rsidP="00933B45">
            <w:pPr>
              <w:spacing w:line="240" w:lineRule="auto"/>
            </w:pPr>
            <w:r>
              <w:t xml:space="preserve">Development comprising </w:t>
            </w:r>
            <w:r w:rsidR="00732533">
              <w:t>1</w:t>
            </w:r>
            <w:r>
              <w:t>0 or more dwellings or residential allotments provides housing suited to a range of</w:t>
            </w:r>
            <w:r w:rsidR="00732533">
              <w:t xml:space="preserve"> accessibility needs.</w:t>
            </w:r>
          </w:p>
        </w:tc>
        <w:tc>
          <w:tcPr>
            <w:tcW w:w="4508" w:type="dxa"/>
          </w:tcPr>
          <w:p w14:paraId="736F8CE0" w14:textId="77777777" w:rsidR="00930C51" w:rsidRDefault="00930C51" w:rsidP="00930C51">
            <w:pPr>
              <w:spacing w:line="240" w:lineRule="auto"/>
            </w:pPr>
            <w:r>
              <w:t>DTS/DPF 1.2</w:t>
            </w:r>
          </w:p>
          <w:p w14:paraId="0EB99AF9" w14:textId="12617B2F" w:rsidR="00FB7689" w:rsidRDefault="00930C51" w:rsidP="00930C51">
            <w:pPr>
              <w:spacing w:line="240" w:lineRule="auto"/>
            </w:pPr>
            <w:r>
              <w:t xml:space="preserve">Development comprising 10 or more dwellings or residential allotments includes a minimum of </w:t>
            </w:r>
            <w:r w:rsidR="000F6C57">
              <w:t>15</w:t>
            </w:r>
            <w:r>
              <w:t>% accessible housing</w:t>
            </w:r>
            <w:r w:rsidR="00037A17">
              <w:t xml:space="preserve"> that complies with </w:t>
            </w:r>
            <w:r w:rsidR="00980ED7">
              <w:t xml:space="preserve">the ‘Gold level’ </w:t>
            </w:r>
            <w:r w:rsidR="00684CED">
              <w:t xml:space="preserve">of the </w:t>
            </w:r>
            <w:proofErr w:type="spellStart"/>
            <w:r w:rsidR="00C65705">
              <w:t>Livable</w:t>
            </w:r>
            <w:proofErr w:type="spellEnd"/>
            <w:r w:rsidR="00C65705">
              <w:t xml:space="preserve"> Housing Design </w:t>
            </w:r>
            <w:r w:rsidR="00684CED">
              <w:t>Guidelines (Fourth Edition</w:t>
            </w:r>
            <w:r w:rsidR="0094227C">
              <w:t>, 2017</w:t>
            </w:r>
            <w:r w:rsidR="00684CED">
              <w:t xml:space="preserve">) provided by </w:t>
            </w:r>
            <w:proofErr w:type="spellStart"/>
            <w:r w:rsidR="00684CED">
              <w:t>Livable</w:t>
            </w:r>
            <w:proofErr w:type="spellEnd"/>
            <w:r w:rsidR="00684CED">
              <w:t xml:space="preserve"> Housing Australia</w:t>
            </w:r>
            <w:r w:rsidR="00E1450C">
              <w:t>, except where:</w:t>
            </w:r>
          </w:p>
          <w:p w14:paraId="4EE81868" w14:textId="0A85359E" w:rsidR="00E1450C" w:rsidRDefault="00F248E3" w:rsidP="00710595">
            <w:pPr>
              <w:pStyle w:val="ListParagraph"/>
              <w:numPr>
                <w:ilvl w:val="0"/>
                <w:numId w:val="44"/>
              </w:numPr>
              <w:spacing w:line="240" w:lineRule="auto"/>
            </w:pPr>
            <w:r>
              <w:t xml:space="preserve">Concessions or exemptions under the </w:t>
            </w:r>
            <w:r w:rsidR="00525F63">
              <w:t xml:space="preserve">mandatory </w:t>
            </w:r>
            <w:r>
              <w:t xml:space="preserve">National </w:t>
            </w:r>
            <w:r w:rsidR="00F21166">
              <w:t xml:space="preserve">Construction Code 2022 </w:t>
            </w:r>
            <w:proofErr w:type="spellStart"/>
            <w:r w:rsidR="00A36D73" w:rsidRPr="00A36D73">
              <w:t>Livable</w:t>
            </w:r>
            <w:proofErr w:type="spellEnd"/>
            <w:r w:rsidR="00A36D73" w:rsidRPr="00A36D73">
              <w:t xml:space="preserve"> Housing Design Standard</w:t>
            </w:r>
            <w:r w:rsidR="00A36D73">
              <w:t xml:space="preserve"> apply to </w:t>
            </w:r>
            <w:r w:rsidR="006B7DD6">
              <w:t>15</w:t>
            </w:r>
            <w:r w:rsidR="00B83510">
              <w:t xml:space="preserve">% or more dwellings or residential allotments, then </w:t>
            </w:r>
            <w:r w:rsidR="00516992">
              <w:t xml:space="preserve">25% of remaining dwellings </w:t>
            </w:r>
            <w:r w:rsidR="00AC15B9">
              <w:t xml:space="preserve">or residential allotments </w:t>
            </w:r>
            <w:r w:rsidR="005E441C">
              <w:t xml:space="preserve">comply with the ‘Gold level’ of the </w:t>
            </w:r>
            <w:proofErr w:type="spellStart"/>
            <w:r w:rsidR="005E441C">
              <w:t>Livable</w:t>
            </w:r>
            <w:proofErr w:type="spellEnd"/>
            <w:r w:rsidR="005E441C">
              <w:t xml:space="preserve"> Housing Design Guidelines (Fourth Edition, 2017) provided by </w:t>
            </w:r>
            <w:proofErr w:type="spellStart"/>
            <w:r w:rsidR="005E441C">
              <w:t>Livable</w:t>
            </w:r>
            <w:proofErr w:type="spellEnd"/>
            <w:r w:rsidR="005E441C">
              <w:t xml:space="preserve"> Housing Australia.</w:t>
            </w:r>
          </w:p>
        </w:tc>
      </w:tr>
      <w:tr w:rsidR="00087E98" w14:paraId="3484EAB7" w14:textId="77777777" w:rsidTr="008B38EB">
        <w:trPr>
          <w:cantSplit/>
        </w:trPr>
        <w:tc>
          <w:tcPr>
            <w:tcW w:w="4508" w:type="dxa"/>
          </w:tcPr>
          <w:p w14:paraId="4BC137BC" w14:textId="77777777" w:rsidR="00087E98" w:rsidRDefault="00087E98" w:rsidP="000F1BD2">
            <w:pPr>
              <w:spacing w:line="240" w:lineRule="auto"/>
            </w:pPr>
            <w:r>
              <w:t>PO 1.3</w:t>
            </w:r>
          </w:p>
          <w:p w14:paraId="31FB79A4" w14:textId="4132A427" w:rsidR="00087E98" w:rsidRDefault="00087E98" w:rsidP="000F1BD2">
            <w:pPr>
              <w:spacing w:line="240" w:lineRule="auto"/>
            </w:pPr>
            <w:r>
              <w:t xml:space="preserve">Accessible </w:t>
            </w:r>
            <w:r w:rsidRPr="00087E98">
              <w:t xml:space="preserve">housing </w:t>
            </w:r>
            <w:r w:rsidR="006D6B06">
              <w:t xml:space="preserve">is </w:t>
            </w:r>
            <w:r w:rsidRPr="00087E98">
              <w:t>suited to a range of incomes including households with low to moderate incomes</w:t>
            </w:r>
            <w:r>
              <w:t>.</w:t>
            </w:r>
          </w:p>
        </w:tc>
        <w:tc>
          <w:tcPr>
            <w:tcW w:w="4508" w:type="dxa"/>
          </w:tcPr>
          <w:p w14:paraId="259867FE" w14:textId="561ADC60" w:rsidR="00DC1777" w:rsidRDefault="00DC1777" w:rsidP="00DC1777">
            <w:pPr>
              <w:spacing w:line="240" w:lineRule="auto"/>
            </w:pPr>
            <w:r>
              <w:t>DTS/DPF 1.3</w:t>
            </w:r>
          </w:p>
          <w:p w14:paraId="1776681D" w14:textId="0BECFB99" w:rsidR="00087E98" w:rsidRDefault="009E754C" w:rsidP="00DE3988">
            <w:pPr>
              <w:spacing w:line="240" w:lineRule="auto"/>
            </w:pPr>
            <w:r>
              <w:t xml:space="preserve">Affordable housing </w:t>
            </w:r>
            <w:r w:rsidR="000D5E85">
              <w:t xml:space="preserve">includes a minimum of </w:t>
            </w:r>
            <w:r w:rsidR="00791A66">
              <w:t>1</w:t>
            </w:r>
            <w:r w:rsidR="000D5E85">
              <w:t xml:space="preserve">5% accessible housing that complies with the ‘Gold level’ of the </w:t>
            </w:r>
            <w:proofErr w:type="spellStart"/>
            <w:r w:rsidR="000D5E85">
              <w:t>Livable</w:t>
            </w:r>
            <w:proofErr w:type="spellEnd"/>
            <w:r w:rsidR="000D5E85">
              <w:t xml:space="preserve"> Housing Design Guidelines (Fourth Edition, 2017) provided by </w:t>
            </w:r>
            <w:proofErr w:type="spellStart"/>
            <w:r w:rsidR="000D5E85">
              <w:t>Livable</w:t>
            </w:r>
            <w:proofErr w:type="spellEnd"/>
            <w:r w:rsidR="000D5E85">
              <w:t xml:space="preserve"> Housing Australia.</w:t>
            </w:r>
          </w:p>
        </w:tc>
      </w:tr>
      <w:tr w:rsidR="00FB7689" w14:paraId="3EDECFA0" w14:textId="77777777" w:rsidTr="008B38EB">
        <w:trPr>
          <w:cantSplit/>
        </w:trPr>
        <w:tc>
          <w:tcPr>
            <w:tcW w:w="4508" w:type="dxa"/>
          </w:tcPr>
          <w:p w14:paraId="4F414A69" w14:textId="65398F19" w:rsidR="000F1BD2" w:rsidRDefault="000F1BD2" w:rsidP="000F1BD2">
            <w:pPr>
              <w:spacing w:line="240" w:lineRule="auto"/>
            </w:pPr>
            <w:r>
              <w:t>PO 1.</w:t>
            </w:r>
            <w:r w:rsidR="00087E98">
              <w:t>4</w:t>
            </w:r>
          </w:p>
          <w:p w14:paraId="64FF583F" w14:textId="06687297" w:rsidR="00FB7689" w:rsidRDefault="000F1BD2" w:rsidP="000F1BD2">
            <w:pPr>
              <w:spacing w:line="240" w:lineRule="auto"/>
            </w:pPr>
            <w:r>
              <w:t>A</w:t>
            </w:r>
            <w:r w:rsidR="006A49ED">
              <w:t>ccessible</w:t>
            </w:r>
            <w:r>
              <w:t xml:space="preserve"> housing is distributed throughout the development to avoid an overconcentration.</w:t>
            </w:r>
          </w:p>
        </w:tc>
        <w:tc>
          <w:tcPr>
            <w:tcW w:w="4508" w:type="dxa"/>
          </w:tcPr>
          <w:p w14:paraId="62F10A87" w14:textId="145182F5" w:rsidR="00DE3988" w:rsidRDefault="00DE3988" w:rsidP="00DE3988">
            <w:pPr>
              <w:spacing w:line="240" w:lineRule="auto"/>
            </w:pPr>
            <w:r>
              <w:t>DTS/DPF 1.</w:t>
            </w:r>
            <w:r w:rsidR="00087E98">
              <w:t>4</w:t>
            </w:r>
          </w:p>
          <w:p w14:paraId="32E96545" w14:textId="542DC21F" w:rsidR="00FB7689" w:rsidRDefault="00DE3988" w:rsidP="00DE3988">
            <w:pPr>
              <w:spacing w:line="240" w:lineRule="auto"/>
            </w:pPr>
            <w:r>
              <w:t>None are applicable.</w:t>
            </w:r>
          </w:p>
        </w:tc>
      </w:tr>
      <w:tr w:rsidR="006B6568" w14:paraId="1E8073A9" w14:textId="77777777">
        <w:trPr>
          <w:cantSplit/>
        </w:trPr>
        <w:tc>
          <w:tcPr>
            <w:tcW w:w="9016" w:type="dxa"/>
            <w:gridSpan w:val="2"/>
          </w:tcPr>
          <w:p w14:paraId="389746B6" w14:textId="1922990E" w:rsidR="006B6568" w:rsidRDefault="003E0E2E" w:rsidP="003E0E2E">
            <w:pPr>
              <w:spacing w:line="240" w:lineRule="auto"/>
              <w:jc w:val="center"/>
            </w:pPr>
            <w:r w:rsidRPr="003E0E2E">
              <w:t>Built Form and Character</w:t>
            </w:r>
          </w:p>
        </w:tc>
      </w:tr>
      <w:tr w:rsidR="00FB7689" w14:paraId="54E47237" w14:textId="77777777" w:rsidTr="008B38EB">
        <w:trPr>
          <w:cantSplit/>
        </w:trPr>
        <w:tc>
          <w:tcPr>
            <w:tcW w:w="4508" w:type="dxa"/>
          </w:tcPr>
          <w:p w14:paraId="478E5DAC" w14:textId="77777777" w:rsidR="006A49ED" w:rsidRDefault="006A49ED" w:rsidP="006A49ED">
            <w:pPr>
              <w:spacing w:line="240" w:lineRule="auto"/>
            </w:pPr>
            <w:r>
              <w:t>PO 2.1</w:t>
            </w:r>
          </w:p>
          <w:p w14:paraId="40E1CF12" w14:textId="0CD9954D" w:rsidR="00FB7689" w:rsidRDefault="006A49ED" w:rsidP="006A49ED">
            <w:pPr>
              <w:spacing w:line="240" w:lineRule="auto"/>
            </w:pPr>
            <w:r>
              <w:t>Accessible housing is designed to complement the design and character of residential development within the locality.</w:t>
            </w:r>
          </w:p>
        </w:tc>
        <w:tc>
          <w:tcPr>
            <w:tcW w:w="4508" w:type="dxa"/>
          </w:tcPr>
          <w:p w14:paraId="6F8CF36B" w14:textId="77777777" w:rsidR="00210484" w:rsidRDefault="00210484" w:rsidP="00210484">
            <w:pPr>
              <w:spacing w:line="240" w:lineRule="auto"/>
            </w:pPr>
            <w:r>
              <w:t>DTS/DPF 2.1</w:t>
            </w:r>
          </w:p>
          <w:p w14:paraId="31D1B39E" w14:textId="0D634B0E" w:rsidR="00FB7689" w:rsidRDefault="00210484" w:rsidP="00210484">
            <w:pPr>
              <w:spacing w:line="240" w:lineRule="auto"/>
            </w:pPr>
            <w:r>
              <w:t>None are applicable.</w:t>
            </w:r>
          </w:p>
        </w:tc>
      </w:tr>
      <w:tr w:rsidR="002A1FAA" w14:paraId="548D7EF5" w14:textId="77777777">
        <w:trPr>
          <w:cantSplit/>
        </w:trPr>
        <w:tc>
          <w:tcPr>
            <w:tcW w:w="9016" w:type="dxa"/>
            <w:gridSpan w:val="2"/>
          </w:tcPr>
          <w:p w14:paraId="6FEF90A8" w14:textId="441B2533" w:rsidR="002A1FAA" w:rsidRDefault="00F0103C" w:rsidP="00F0103C">
            <w:pPr>
              <w:spacing w:line="240" w:lineRule="auto"/>
              <w:jc w:val="center"/>
            </w:pPr>
            <w:r w:rsidRPr="00F0103C">
              <w:t>Movement and Car Parking</w:t>
            </w:r>
          </w:p>
        </w:tc>
      </w:tr>
      <w:tr w:rsidR="002A1FAA" w14:paraId="5C41890B" w14:textId="77777777" w:rsidTr="008B38EB">
        <w:trPr>
          <w:cantSplit/>
        </w:trPr>
        <w:tc>
          <w:tcPr>
            <w:tcW w:w="4508" w:type="dxa"/>
          </w:tcPr>
          <w:p w14:paraId="214C69A5" w14:textId="5BB1FB00" w:rsidR="00210484" w:rsidRDefault="00210484" w:rsidP="00210484">
            <w:pPr>
              <w:spacing w:line="240" w:lineRule="auto"/>
            </w:pPr>
            <w:r>
              <w:t>PO 3.1</w:t>
            </w:r>
          </w:p>
          <w:p w14:paraId="061F9D22" w14:textId="72AB212F" w:rsidR="002A1FAA" w:rsidRDefault="00210484" w:rsidP="00210484">
            <w:pPr>
              <w:spacing w:line="240" w:lineRule="auto"/>
            </w:pPr>
            <w:r>
              <w:t xml:space="preserve">Sufficient </w:t>
            </w:r>
            <w:r w:rsidR="00BB53AB">
              <w:t xml:space="preserve">accessible </w:t>
            </w:r>
            <w:r>
              <w:t>car parking is provided to meet the needs of occupants of a</w:t>
            </w:r>
            <w:r w:rsidR="00BB53AB">
              <w:t>ccessible</w:t>
            </w:r>
            <w:r>
              <w:t xml:space="preserve"> housing.</w:t>
            </w:r>
          </w:p>
        </w:tc>
        <w:tc>
          <w:tcPr>
            <w:tcW w:w="4508" w:type="dxa"/>
          </w:tcPr>
          <w:p w14:paraId="7A5BF648" w14:textId="5177D8AE" w:rsidR="003A0946" w:rsidRDefault="003A0946" w:rsidP="003A0946">
            <w:pPr>
              <w:spacing w:line="240" w:lineRule="auto"/>
            </w:pPr>
            <w:r>
              <w:t>DTS/DPF 3.1</w:t>
            </w:r>
          </w:p>
          <w:p w14:paraId="05DBCC84" w14:textId="2EF2D225" w:rsidR="002A1FAA" w:rsidRDefault="003A0946" w:rsidP="003A0946">
            <w:pPr>
              <w:spacing w:line="240" w:lineRule="auto"/>
            </w:pPr>
            <w:r>
              <w:t xml:space="preserve">Dwellings constituting accessible housing are provided with accessible car parking </w:t>
            </w:r>
            <w:r w:rsidR="008F6F07">
              <w:t xml:space="preserve">of </w:t>
            </w:r>
            <w:r w:rsidR="008831D9">
              <w:t xml:space="preserve">at least </w:t>
            </w:r>
            <w:r w:rsidR="008F6F07">
              <w:t>1 car park per dwelling.</w:t>
            </w:r>
          </w:p>
        </w:tc>
      </w:tr>
    </w:tbl>
    <w:p w14:paraId="5FD267F5" w14:textId="77777777" w:rsidR="0015550A" w:rsidRDefault="0015550A" w:rsidP="00916D7C">
      <w:pPr>
        <w:spacing w:after="160"/>
      </w:pPr>
    </w:p>
    <w:p w14:paraId="7E6817F1" w14:textId="0E73FAAC" w:rsidR="0015550A" w:rsidRDefault="00E24C61" w:rsidP="0015550A">
      <w:pPr>
        <w:spacing w:after="160"/>
        <w:rPr>
          <w:b/>
          <w:bCs/>
        </w:rPr>
      </w:pPr>
      <w:r w:rsidRPr="00E24C61">
        <w:rPr>
          <w:b/>
          <w:bCs/>
        </w:rPr>
        <w:lastRenderedPageBreak/>
        <w:t xml:space="preserve">Procedural Matters (PM) </w:t>
      </w:r>
      <w:r>
        <w:rPr>
          <w:b/>
          <w:bCs/>
        </w:rPr>
        <w:t>–</w:t>
      </w:r>
      <w:r w:rsidRPr="00E24C61">
        <w:rPr>
          <w:b/>
          <w:bCs/>
        </w:rPr>
        <w:t xml:space="preserve"> Referrals</w:t>
      </w:r>
    </w:p>
    <w:p w14:paraId="4C3CE1CA" w14:textId="1D7D85CF" w:rsidR="00E24C61" w:rsidRPr="00E24C61" w:rsidRDefault="00F16E41" w:rsidP="00F16E41">
      <w:pPr>
        <w:spacing w:after="160"/>
      </w:pPr>
      <w:r>
        <w:t>The following table identifies classes of development / activities that require referral in this Overlay and the applicable referral body. It sets out the purpose of the referral as well as the relevant statutory reference from Schedule 9 of the Planning, Development and Infrastructure (General) Regulations 2017.</w:t>
      </w:r>
    </w:p>
    <w:tbl>
      <w:tblPr>
        <w:tblStyle w:val="TableGrid"/>
        <w:tblW w:w="0" w:type="auto"/>
        <w:tblCellMar>
          <w:top w:w="108" w:type="dxa"/>
          <w:bottom w:w="108" w:type="dxa"/>
        </w:tblCellMar>
        <w:tblLook w:val="04A0" w:firstRow="1" w:lastRow="0" w:firstColumn="1" w:lastColumn="0" w:noHBand="0" w:noVBand="1"/>
      </w:tblPr>
      <w:tblGrid>
        <w:gridCol w:w="2830"/>
        <w:gridCol w:w="1843"/>
        <w:gridCol w:w="2089"/>
        <w:gridCol w:w="2254"/>
      </w:tblGrid>
      <w:tr w:rsidR="00A557E3" w14:paraId="5F817379" w14:textId="77777777" w:rsidTr="00E97C11">
        <w:tc>
          <w:tcPr>
            <w:tcW w:w="2830" w:type="dxa"/>
            <w:shd w:val="clear" w:color="auto" w:fill="808080" w:themeFill="background1" w:themeFillShade="80"/>
          </w:tcPr>
          <w:p w14:paraId="3E1E4224" w14:textId="6B604023" w:rsidR="00A557E3" w:rsidRPr="00E97C11" w:rsidRDefault="006B5680" w:rsidP="00E97C11">
            <w:pPr>
              <w:spacing w:line="240" w:lineRule="auto"/>
              <w:rPr>
                <w:b/>
                <w:bCs/>
                <w:color w:val="FFFFFF" w:themeColor="background1"/>
              </w:rPr>
            </w:pPr>
            <w:r w:rsidRPr="00E97C11">
              <w:rPr>
                <w:b/>
                <w:bCs/>
                <w:color w:val="FFFFFF" w:themeColor="background1"/>
              </w:rPr>
              <w:t>Class of Development / Activity</w:t>
            </w:r>
          </w:p>
        </w:tc>
        <w:tc>
          <w:tcPr>
            <w:tcW w:w="1843" w:type="dxa"/>
            <w:shd w:val="clear" w:color="auto" w:fill="808080" w:themeFill="background1" w:themeFillShade="80"/>
          </w:tcPr>
          <w:p w14:paraId="29DC45F5" w14:textId="060916B2" w:rsidR="00A557E3" w:rsidRPr="00E97C11" w:rsidRDefault="001B66D7" w:rsidP="00E97C11">
            <w:pPr>
              <w:spacing w:line="240" w:lineRule="auto"/>
              <w:rPr>
                <w:b/>
                <w:bCs/>
                <w:color w:val="FFFFFF" w:themeColor="background1"/>
              </w:rPr>
            </w:pPr>
            <w:r w:rsidRPr="00E97C11">
              <w:rPr>
                <w:b/>
                <w:bCs/>
                <w:color w:val="FFFFFF" w:themeColor="background1"/>
              </w:rPr>
              <w:t>Referral Body</w:t>
            </w:r>
          </w:p>
        </w:tc>
        <w:tc>
          <w:tcPr>
            <w:tcW w:w="2089" w:type="dxa"/>
            <w:shd w:val="clear" w:color="auto" w:fill="808080" w:themeFill="background1" w:themeFillShade="80"/>
          </w:tcPr>
          <w:p w14:paraId="02748A8B" w14:textId="16E38DD4" w:rsidR="00A557E3" w:rsidRPr="00E97C11" w:rsidRDefault="001B66D7" w:rsidP="00E97C11">
            <w:pPr>
              <w:spacing w:line="240" w:lineRule="auto"/>
              <w:rPr>
                <w:b/>
                <w:bCs/>
                <w:color w:val="FFFFFF" w:themeColor="background1"/>
              </w:rPr>
            </w:pPr>
            <w:r w:rsidRPr="00E97C11">
              <w:rPr>
                <w:b/>
                <w:bCs/>
                <w:color w:val="FFFFFF" w:themeColor="background1"/>
              </w:rPr>
              <w:t>Purpose of Referral</w:t>
            </w:r>
          </w:p>
        </w:tc>
        <w:tc>
          <w:tcPr>
            <w:tcW w:w="2254" w:type="dxa"/>
            <w:shd w:val="clear" w:color="auto" w:fill="808080" w:themeFill="background1" w:themeFillShade="80"/>
          </w:tcPr>
          <w:p w14:paraId="4BF3B55C" w14:textId="32FCD962" w:rsidR="00A557E3" w:rsidRPr="00E97C11" w:rsidRDefault="001B66D7" w:rsidP="00E97C11">
            <w:pPr>
              <w:spacing w:line="240" w:lineRule="auto"/>
              <w:rPr>
                <w:b/>
                <w:bCs/>
                <w:color w:val="FFFFFF" w:themeColor="background1"/>
              </w:rPr>
            </w:pPr>
            <w:r w:rsidRPr="00E97C11">
              <w:rPr>
                <w:b/>
                <w:bCs/>
                <w:color w:val="FFFFFF" w:themeColor="background1"/>
              </w:rPr>
              <w:t>Statutory Reference</w:t>
            </w:r>
          </w:p>
        </w:tc>
      </w:tr>
      <w:tr w:rsidR="00A557E3" w14:paraId="52500F23" w14:textId="77777777" w:rsidTr="00E97C11">
        <w:tc>
          <w:tcPr>
            <w:tcW w:w="2830" w:type="dxa"/>
          </w:tcPr>
          <w:p w14:paraId="0437CCC4" w14:textId="23C0AB80" w:rsidR="00A557E3" w:rsidRDefault="002E5AC9" w:rsidP="00E97C11">
            <w:pPr>
              <w:spacing w:line="240" w:lineRule="auto"/>
            </w:pPr>
            <w:r>
              <w:t>None</w:t>
            </w:r>
            <w:r w:rsidR="00CA1598">
              <w:t>.</w:t>
            </w:r>
          </w:p>
        </w:tc>
        <w:tc>
          <w:tcPr>
            <w:tcW w:w="1843" w:type="dxa"/>
          </w:tcPr>
          <w:p w14:paraId="6BB72C94" w14:textId="31800E3D" w:rsidR="00A557E3" w:rsidRDefault="002E5AC9" w:rsidP="00E97C11">
            <w:pPr>
              <w:spacing w:line="240" w:lineRule="auto"/>
            </w:pPr>
            <w:r>
              <w:t>None</w:t>
            </w:r>
            <w:r w:rsidR="00CA1598">
              <w:t>.</w:t>
            </w:r>
          </w:p>
        </w:tc>
        <w:tc>
          <w:tcPr>
            <w:tcW w:w="2089" w:type="dxa"/>
          </w:tcPr>
          <w:p w14:paraId="6D361E80" w14:textId="18AF119B" w:rsidR="00A557E3" w:rsidRDefault="002E5AC9" w:rsidP="00E97C11">
            <w:pPr>
              <w:spacing w:line="240" w:lineRule="auto"/>
            </w:pPr>
            <w:r>
              <w:t>None</w:t>
            </w:r>
            <w:r w:rsidR="00CA1598">
              <w:t>.</w:t>
            </w:r>
          </w:p>
        </w:tc>
        <w:tc>
          <w:tcPr>
            <w:tcW w:w="2254" w:type="dxa"/>
          </w:tcPr>
          <w:p w14:paraId="503D14B4" w14:textId="0F4319D0" w:rsidR="00A557E3" w:rsidRDefault="002E5AC9" w:rsidP="00E97C11">
            <w:pPr>
              <w:spacing w:line="240" w:lineRule="auto"/>
            </w:pPr>
            <w:r>
              <w:t>None</w:t>
            </w:r>
            <w:r w:rsidR="00CA1598">
              <w:t>.</w:t>
            </w:r>
          </w:p>
        </w:tc>
      </w:tr>
    </w:tbl>
    <w:p w14:paraId="46CE9C6F" w14:textId="77777777" w:rsidR="0015550A" w:rsidRPr="0015550A" w:rsidRDefault="0015550A" w:rsidP="00916D7C">
      <w:pPr>
        <w:spacing w:after="160"/>
      </w:pPr>
    </w:p>
    <w:sectPr w:rsidR="0015550A" w:rsidRPr="0015550A" w:rsidSect="0003148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3E67" w14:textId="77777777" w:rsidR="003A31A9" w:rsidRDefault="003A31A9" w:rsidP="00D003C5">
      <w:r>
        <w:separator/>
      </w:r>
    </w:p>
    <w:p w14:paraId="2379B4E3" w14:textId="77777777" w:rsidR="003A31A9" w:rsidRDefault="003A31A9" w:rsidP="00D003C5"/>
    <w:p w14:paraId="0F1D21AC" w14:textId="77777777" w:rsidR="003A31A9" w:rsidRDefault="003A31A9" w:rsidP="00D003C5"/>
  </w:endnote>
  <w:endnote w:type="continuationSeparator" w:id="0">
    <w:p w14:paraId="2C451E24" w14:textId="77777777" w:rsidR="003A31A9" w:rsidRDefault="003A31A9" w:rsidP="00D003C5">
      <w:r>
        <w:continuationSeparator/>
      </w:r>
    </w:p>
    <w:p w14:paraId="72A20DFC" w14:textId="77777777" w:rsidR="003A31A9" w:rsidRDefault="003A31A9" w:rsidP="00D003C5"/>
    <w:p w14:paraId="4DFF849E" w14:textId="77777777" w:rsidR="003A31A9" w:rsidRDefault="003A31A9" w:rsidP="00D003C5"/>
  </w:endnote>
  <w:endnote w:type="continuationNotice" w:id="1">
    <w:p w14:paraId="40A8AE25" w14:textId="77777777" w:rsidR="003A31A9" w:rsidRDefault="003A31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941" w14:textId="07FB33BE" w:rsidR="004E029E" w:rsidRPr="00064882" w:rsidRDefault="00916D7C" w:rsidP="00D003C5">
    <w:pPr>
      <w:pStyle w:val="Footer"/>
    </w:pPr>
    <w:r>
      <w:t>JFA Purple Orange</w:t>
    </w:r>
    <w:r>
      <w:ptab w:relativeTo="margin" w:alignment="center" w:leader="none"/>
    </w:r>
    <w:r>
      <w:ptab w:relativeTo="margin" w:alignment="right" w:leader="none"/>
    </w:r>
    <w:r w:rsidRPr="00916D7C">
      <w:fldChar w:fldCharType="begin"/>
    </w:r>
    <w:r w:rsidRPr="00916D7C">
      <w:instrText xml:space="preserve"> PAGE   \* MERGEFORMAT </w:instrText>
    </w:r>
    <w:r w:rsidRPr="00916D7C">
      <w:fldChar w:fldCharType="separate"/>
    </w:r>
    <w:r w:rsidRPr="00916D7C">
      <w:rPr>
        <w:noProof/>
      </w:rPr>
      <w:t>1</w:t>
    </w:r>
    <w:r w:rsidRPr="00916D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DD7B" w14:textId="77777777" w:rsidR="003A31A9" w:rsidRDefault="003A31A9" w:rsidP="00D003C5">
      <w:r>
        <w:separator/>
      </w:r>
    </w:p>
  </w:footnote>
  <w:footnote w:type="continuationSeparator" w:id="0">
    <w:p w14:paraId="1E074079" w14:textId="77777777" w:rsidR="003A31A9" w:rsidRDefault="003A31A9" w:rsidP="00D003C5">
      <w:r>
        <w:continuationSeparator/>
      </w:r>
    </w:p>
  </w:footnote>
  <w:footnote w:type="continuationNotice" w:id="1">
    <w:p w14:paraId="38A080D2" w14:textId="77777777" w:rsidR="003A31A9" w:rsidRDefault="003A31A9">
      <w:pPr>
        <w:spacing w:line="240" w:lineRule="auto"/>
      </w:pPr>
    </w:p>
  </w:footnote>
  <w:footnote w:id="2">
    <w:p w14:paraId="21563C1F" w14:textId="1B29BCDD" w:rsidR="00637296" w:rsidRPr="00637296" w:rsidRDefault="00637296">
      <w:pPr>
        <w:pStyle w:val="FootnoteText"/>
        <w:rPr>
          <w:lang w:val="en-GB"/>
        </w:rPr>
      </w:pPr>
      <w:r>
        <w:rPr>
          <w:rStyle w:val="FootnoteReference"/>
        </w:rPr>
        <w:footnoteRef/>
      </w:r>
      <w:r>
        <w:t xml:space="preserve"> </w:t>
      </w:r>
      <w:r w:rsidR="004759C5">
        <w:t>I</w:t>
      </w:r>
      <w:r w:rsidR="004759C5" w:rsidRPr="005D2379">
        <w:t xml:space="preserve">n </w:t>
      </w:r>
      <w:r w:rsidR="004759C5">
        <w:t>their</w:t>
      </w:r>
      <w:r w:rsidR="004759C5" w:rsidRPr="005D2379">
        <w:t xml:space="preserve"> character and effect, </w:t>
      </w:r>
      <w:r w:rsidR="004759C5">
        <w:t>group houses</w:t>
      </w:r>
      <w:r w:rsidR="004759C5" w:rsidRPr="005D2379">
        <w:t xml:space="preserve"> </w:t>
      </w:r>
      <w:r w:rsidR="004759C5">
        <w:t>are</w:t>
      </w:r>
      <w:r w:rsidR="004759C5" w:rsidRPr="005D2379">
        <w:t xml:space="preserve"> service facilit</w:t>
      </w:r>
      <w:r w:rsidR="004759C5">
        <w:t>ies</w:t>
      </w:r>
      <w:r w:rsidR="004759C5" w:rsidRPr="005D2379">
        <w:t>, not home</w:t>
      </w:r>
      <w:r w:rsidR="004759C5">
        <w:t>s</w:t>
      </w:r>
      <w:r w:rsidR="004759C5" w:rsidRPr="005D2379">
        <w:t>. This is why we deliberately use the term ‘group house</w:t>
      </w:r>
      <w:r w:rsidR="004759C5">
        <w:t>s</w:t>
      </w:r>
      <w:r w:rsidR="004759C5" w:rsidRPr="005D2379">
        <w:t>’ rather than the more common ‘group home</w:t>
      </w:r>
      <w:r w:rsidR="004759C5">
        <w:t>s’.</w:t>
      </w:r>
      <w:r w:rsidR="004759C5" w:rsidRPr="005D2379">
        <w:t xml:space="preserve"> </w:t>
      </w:r>
      <w:r w:rsidR="004759C5">
        <w:t>T</w:t>
      </w:r>
      <w:r w:rsidR="004759C5" w:rsidRPr="005D2379">
        <w:t>he use of ‘home’ in this context is a</w:t>
      </w:r>
      <w:r w:rsidR="004759C5">
        <w:t xml:space="preserve"> </w:t>
      </w:r>
      <w:r w:rsidR="004759C5" w:rsidRPr="005D2379">
        <w:t>misnomer and profoundly compromises its true meaning.</w:t>
      </w:r>
    </w:p>
  </w:footnote>
  <w:footnote w:id="3">
    <w:p w14:paraId="707B2371" w14:textId="2337495F" w:rsidR="000B77B5" w:rsidRPr="000B77B5" w:rsidRDefault="000B77B5">
      <w:pPr>
        <w:pStyle w:val="FootnoteText"/>
        <w:rPr>
          <w:lang w:val="en-GB"/>
        </w:rPr>
      </w:pPr>
      <w:r>
        <w:rPr>
          <w:rStyle w:val="FootnoteReference"/>
        </w:rPr>
        <w:footnoteRef/>
      </w:r>
      <w:r>
        <w:t xml:space="preserve"> </w:t>
      </w:r>
      <w:r w:rsidR="001464BC" w:rsidRPr="0058195E">
        <w:t xml:space="preserve">Australian Government, 'Shut </w:t>
      </w:r>
      <w:r w:rsidR="001464BC">
        <w:t>O</w:t>
      </w:r>
      <w:r w:rsidR="001464BC" w:rsidRPr="0058195E">
        <w:t>ut: The Experience of People with Disabilities and their Families in Australia</w:t>
      </w:r>
      <w:r w:rsidR="001464BC">
        <w:t xml:space="preserve">’, 2009, p.52, available at </w:t>
      </w:r>
      <w:hyperlink r:id="rId1" w:history="1">
        <w:r w:rsidR="001464BC" w:rsidRPr="003D7109">
          <w:rPr>
            <w:rStyle w:val="Hyperlink"/>
          </w:rPr>
          <w:t>https://www.dss.gov.au/our-responsibilities/disability-and-carers/publications-articles/policy-research/shut-out-the-experience-of-people-with-disabilities-and-their-families-in-australia</w:t>
        </w:r>
      </w:hyperlink>
      <w:r w:rsidR="001464BC">
        <w:t>.</w:t>
      </w:r>
    </w:p>
  </w:footnote>
  <w:footnote w:id="4">
    <w:p w14:paraId="00B11583" w14:textId="48CA4822" w:rsidR="00BC3A3C" w:rsidRPr="00F05F78" w:rsidRDefault="00BC3A3C" w:rsidP="00BC3A3C">
      <w:pPr>
        <w:pStyle w:val="FootnoteText"/>
        <w:rPr>
          <w:color w:val="000000" w:themeColor="text1"/>
        </w:rPr>
      </w:pPr>
      <w:r>
        <w:rPr>
          <w:rStyle w:val="FootnoteReference"/>
        </w:rPr>
        <w:footnoteRef/>
      </w:r>
      <w:r>
        <w:t xml:space="preserve"> R. Williams, ‘Model of Citizenhood Support’, 2nd edition, 2013, Julia Farr Association Inc, Unley, South </w:t>
      </w:r>
      <w:r w:rsidRPr="00F05F78">
        <w:t xml:space="preserve">Australia. </w:t>
      </w:r>
      <w:r w:rsidRPr="00F05F78">
        <w:rPr>
          <w:color w:val="000000" w:themeColor="text1"/>
        </w:rPr>
        <w:t xml:space="preserve">See </w:t>
      </w:r>
      <w:hyperlink r:id="rId2" w:history="1">
        <w:r w:rsidRPr="00147A26">
          <w:rPr>
            <w:rStyle w:val="Hyperlink"/>
          </w:rPr>
          <w:t>https://www.purpleorange.org.au/what-we-do/library-our-work/model-citizenhood-support</w:t>
        </w:r>
      </w:hyperlink>
      <w:r w:rsidR="001464BC">
        <w:t>.</w:t>
      </w:r>
    </w:p>
  </w:footnote>
  <w:footnote w:id="5">
    <w:p w14:paraId="7FE230C8" w14:textId="16025BC5" w:rsidR="00783D9A" w:rsidRPr="00783D9A" w:rsidRDefault="00783D9A">
      <w:pPr>
        <w:pStyle w:val="FootnoteText"/>
        <w:rPr>
          <w:lang w:val="en-GB"/>
        </w:rPr>
      </w:pPr>
      <w:r>
        <w:rPr>
          <w:rStyle w:val="FootnoteReference"/>
        </w:rPr>
        <w:footnoteRef/>
      </w:r>
      <w:r>
        <w:t xml:space="preserve"> </w:t>
      </w:r>
      <w:r w:rsidR="005F7276">
        <w:t xml:space="preserve">Australian Bureau of Statistics </w:t>
      </w:r>
      <w:r w:rsidR="00762EF2">
        <w:t>(ABS), ‘</w:t>
      </w:r>
      <w:r w:rsidR="00265E61" w:rsidRPr="00265E61">
        <w:t>Disability, Ageing and Carers, Australia: Summary of Findings</w:t>
      </w:r>
      <w:r w:rsidR="00265E61">
        <w:t xml:space="preserve">’, </w:t>
      </w:r>
      <w:r w:rsidR="009D3234">
        <w:t>24 October 20</w:t>
      </w:r>
      <w:r w:rsidR="00B7601B">
        <w:t xml:space="preserve">19, available at </w:t>
      </w:r>
      <w:hyperlink r:id="rId3" w:history="1">
        <w:r w:rsidR="00873BC2" w:rsidRPr="000E7845">
          <w:rPr>
            <w:rStyle w:val="Hyperlink"/>
          </w:rPr>
          <w:t>https://www.abs.gov.au/statistics/health/disability/disability-ageing-and-carers-australia-summary-findings/latest-release</w:t>
        </w:r>
      </w:hyperlink>
      <w:r w:rsidR="00873BC2">
        <w:t>.</w:t>
      </w:r>
    </w:p>
  </w:footnote>
  <w:footnote w:id="6">
    <w:p w14:paraId="1FDCEB64" w14:textId="0F06C7BD" w:rsidR="00FD51B1" w:rsidRPr="00FD51B1" w:rsidRDefault="00FD51B1">
      <w:pPr>
        <w:pStyle w:val="FootnoteText"/>
        <w:rPr>
          <w:lang w:val="en-GB"/>
        </w:rPr>
      </w:pPr>
      <w:r>
        <w:rPr>
          <w:rStyle w:val="FootnoteReference"/>
        </w:rPr>
        <w:footnoteRef/>
      </w:r>
      <w:r>
        <w:t xml:space="preserve"> </w:t>
      </w:r>
      <w:r w:rsidR="007F23F4">
        <w:t>See page 60 of the Discussion Paper.</w:t>
      </w:r>
    </w:p>
  </w:footnote>
  <w:footnote w:id="7">
    <w:p w14:paraId="6EBC6BCA" w14:textId="77777777" w:rsidR="009C435B" w:rsidRPr="00AC52B5" w:rsidRDefault="009C435B" w:rsidP="009C435B">
      <w:pPr>
        <w:pStyle w:val="FootnoteText"/>
        <w:rPr>
          <w:lang w:val="en-GB"/>
        </w:rPr>
      </w:pPr>
      <w:r>
        <w:rPr>
          <w:rStyle w:val="FootnoteReference"/>
        </w:rPr>
        <w:footnoteRef/>
      </w:r>
      <w:r>
        <w:t xml:space="preserve"> </w:t>
      </w:r>
      <w:r>
        <w:rPr>
          <w:lang w:val="en-GB"/>
        </w:rPr>
        <w:t xml:space="preserve">See further at </w:t>
      </w:r>
      <w:hyperlink r:id="rId4" w:history="1">
        <w:r w:rsidRPr="000E7845">
          <w:rPr>
            <w:rStyle w:val="Hyperlink"/>
            <w:lang w:val="en-GB"/>
          </w:rPr>
          <w:t>https://humanrights.gov.au/our-work/disability-rights/united-nations-convention-rights-persons-disabilities-uncrpd</w:t>
        </w:r>
      </w:hyperlink>
      <w:r>
        <w:rPr>
          <w:lang w:val="en-GB"/>
        </w:rPr>
        <w:t>.</w:t>
      </w:r>
    </w:p>
  </w:footnote>
  <w:footnote w:id="8">
    <w:p w14:paraId="130D781F" w14:textId="1CDB4827" w:rsidR="00A4649C" w:rsidRPr="00A4649C" w:rsidRDefault="00A4649C">
      <w:pPr>
        <w:pStyle w:val="FootnoteText"/>
        <w:rPr>
          <w:lang w:val="en-GB"/>
        </w:rPr>
      </w:pPr>
      <w:r>
        <w:rPr>
          <w:rStyle w:val="FootnoteReference"/>
        </w:rPr>
        <w:footnoteRef/>
      </w:r>
      <w:r>
        <w:t xml:space="preserve"> See page 103 of the Discussion Paper.</w:t>
      </w:r>
    </w:p>
  </w:footnote>
  <w:footnote w:id="9">
    <w:p w14:paraId="61F51312" w14:textId="77777777" w:rsidR="00097ABC" w:rsidRPr="00BD4383" w:rsidRDefault="00097ABC" w:rsidP="00097ABC">
      <w:pPr>
        <w:pStyle w:val="FootnoteText"/>
        <w:rPr>
          <w:lang w:val="en-GB"/>
        </w:rPr>
      </w:pPr>
      <w:r>
        <w:rPr>
          <w:rStyle w:val="FootnoteReference"/>
        </w:rPr>
        <w:footnoteRef/>
      </w:r>
      <w:r>
        <w:t xml:space="preserve"> </w:t>
      </w:r>
      <w:r>
        <w:rPr>
          <w:lang w:val="en-GB"/>
        </w:rPr>
        <w:t xml:space="preserve">View the Guide at </w:t>
      </w:r>
      <w:hyperlink r:id="rId5" w:history="1">
        <w:r w:rsidRPr="00147A26">
          <w:rPr>
            <w:rStyle w:val="Hyperlink"/>
            <w:lang w:val="en-GB"/>
          </w:rPr>
          <w:t>https://purpleorange.org.au/application/files/7416/2510/1861/PO-CoDesign_Guide-Web-Accessible.pdf</w:t>
        </w:r>
      </w:hyperlink>
      <w:r>
        <w:rPr>
          <w:lang w:val="en-GB"/>
        </w:rPr>
        <w:t xml:space="preserve">. </w:t>
      </w:r>
    </w:p>
  </w:footnote>
  <w:footnote w:id="10">
    <w:p w14:paraId="200A1EFC" w14:textId="77777777" w:rsidR="001071EB" w:rsidRPr="003567EF" w:rsidRDefault="001071EB" w:rsidP="001071EB">
      <w:pPr>
        <w:pStyle w:val="FootnoteText"/>
        <w:rPr>
          <w:lang w:val="en-GB"/>
        </w:rPr>
      </w:pPr>
      <w:r>
        <w:rPr>
          <w:rStyle w:val="FootnoteReference"/>
        </w:rPr>
        <w:footnoteRef/>
      </w:r>
      <w:r>
        <w:t xml:space="preserve"> </w:t>
      </w:r>
      <w:r w:rsidRPr="00117791">
        <w:t xml:space="preserve">Ilan Wiesel, 'Lived experience and social, health and economic impacts of inaccessible housing', The University of Melbourne, 31 August 2020, available at </w:t>
      </w:r>
      <w:hyperlink r:id="rId6" w:history="1">
        <w:r w:rsidRPr="00E75393">
          <w:rPr>
            <w:rStyle w:val="Hyperlink"/>
          </w:rPr>
          <w:t>https://disability.unimelb.edu.au/__data/assets/pdf_file/0011/3492686/RIA-Report-Survey-Findings.pdf</w:t>
        </w:r>
      </w:hyperlink>
      <w:r>
        <w:t>.</w:t>
      </w:r>
    </w:p>
  </w:footnote>
  <w:footnote w:id="11">
    <w:p w14:paraId="0D8EF5A9" w14:textId="77777777" w:rsidR="00E65BFD" w:rsidRPr="007C5EF1" w:rsidRDefault="00E65BFD" w:rsidP="00E65BFD">
      <w:pPr>
        <w:pStyle w:val="FootnoteText"/>
        <w:rPr>
          <w:lang w:val="en-GB"/>
        </w:rPr>
      </w:pPr>
      <w:r>
        <w:rPr>
          <w:rStyle w:val="FootnoteReference"/>
        </w:rPr>
        <w:footnoteRef/>
      </w:r>
      <w:r>
        <w:t xml:space="preserve"> </w:t>
      </w:r>
      <w:r w:rsidRPr="00EF41F3">
        <w:t xml:space="preserve">See National Disability Insurance Agency (NDIA), 'NDIS Quarterly report to disability ministers: Q4 2022-23', available at </w:t>
      </w:r>
      <w:hyperlink r:id="rId7" w:history="1">
        <w:r w:rsidRPr="00E75393">
          <w:rPr>
            <w:rStyle w:val="Hyperlink"/>
          </w:rPr>
          <w:t>https://www.ndis.gov.au/about-us/publications/quarterly-reports</w:t>
        </w:r>
      </w:hyperlink>
      <w:r>
        <w:t xml:space="preserve">. </w:t>
      </w:r>
    </w:p>
  </w:footnote>
  <w:footnote w:id="12">
    <w:p w14:paraId="7CF80A69" w14:textId="77777777" w:rsidR="007F3039" w:rsidRPr="0075508C" w:rsidRDefault="007F3039" w:rsidP="007F3039">
      <w:pPr>
        <w:pStyle w:val="FootnoteText"/>
        <w:rPr>
          <w:lang w:val="en-GB"/>
        </w:rPr>
      </w:pPr>
      <w:r>
        <w:rPr>
          <w:rStyle w:val="FootnoteReference"/>
        </w:rPr>
        <w:footnoteRef/>
      </w:r>
      <w:r>
        <w:t xml:space="preserve"> </w:t>
      </w:r>
      <w:r w:rsidRPr="00135943">
        <w:t xml:space="preserve">See Australian Institute of Health and Welfare (AIHW), 'Demographic profile', 28 June 2023, available at </w:t>
      </w:r>
      <w:hyperlink r:id="rId8" w:history="1">
        <w:r w:rsidRPr="00E75393">
          <w:rPr>
            <w:rStyle w:val="Hyperlink"/>
          </w:rPr>
          <w:t>https://www.aihw.gov.au/reports/older-people/older-australians/contents/demographic-profile</w:t>
        </w:r>
      </w:hyperlink>
      <w:r>
        <w:t xml:space="preserve">. </w:t>
      </w:r>
    </w:p>
  </w:footnote>
  <w:footnote w:id="13">
    <w:p w14:paraId="52B44E63" w14:textId="77777777" w:rsidR="007F3039" w:rsidRPr="00D7532B" w:rsidRDefault="007F3039" w:rsidP="007F3039">
      <w:pPr>
        <w:pStyle w:val="FootnoteText"/>
        <w:rPr>
          <w:lang w:val="en-GB"/>
        </w:rPr>
      </w:pPr>
      <w:r>
        <w:rPr>
          <w:rStyle w:val="FootnoteReference"/>
        </w:rPr>
        <w:footnoteRef/>
      </w:r>
      <w:r>
        <w:t xml:space="preserve"> </w:t>
      </w:r>
      <w:r>
        <w:rPr>
          <w:i/>
          <w:iCs/>
        </w:rPr>
        <w:t>Ibid</w:t>
      </w:r>
      <w:r>
        <w:t>.</w:t>
      </w:r>
    </w:p>
  </w:footnote>
  <w:footnote w:id="14">
    <w:p w14:paraId="38F18BBF" w14:textId="77777777" w:rsidR="000D5EC1" w:rsidRPr="00111921" w:rsidRDefault="000D5EC1" w:rsidP="000D5EC1">
      <w:pPr>
        <w:pStyle w:val="FootnoteText"/>
        <w:rPr>
          <w:lang w:val="en-GB"/>
        </w:rPr>
      </w:pPr>
      <w:r>
        <w:rPr>
          <w:rStyle w:val="FootnoteReference"/>
        </w:rPr>
        <w:footnoteRef/>
      </w:r>
      <w:r>
        <w:t xml:space="preserve"> </w:t>
      </w:r>
      <w:r w:rsidRPr="008E212B">
        <w:rPr>
          <w:rFonts w:ascii="Calibri" w:eastAsia="Calibri" w:hAnsi="Calibri" w:cs="Calibri"/>
        </w:rPr>
        <w:t>Lisa Stafford, Matt Novacevski, Rosie Pretorius, Pippa Rogers</w:t>
      </w:r>
      <w:r>
        <w:rPr>
          <w:rFonts w:ascii="Calibri" w:eastAsia="Calibri" w:hAnsi="Calibri" w:cs="Calibri"/>
        </w:rPr>
        <w:t>,</w:t>
      </w:r>
      <w:r w:rsidRPr="008E212B">
        <w:rPr>
          <w:rFonts w:ascii="Calibri" w:eastAsia="Calibri" w:hAnsi="Calibri" w:cs="Calibri"/>
        </w:rPr>
        <w:t xml:space="preserve"> </w:t>
      </w:r>
      <w:r>
        <w:rPr>
          <w:rFonts w:ascii="Calibri" w:eastAsia="Calibri" w:hAnsi="Calibri" w:cs="Calibri"/>
        </w:rPr>
        <w:t>‘</w:t>
      </w:r>
      <w:r w:rsidRPr="008E212B">
        <w:rPr>
          <w:rFonts w:ascii="Calibri" w:eastAsia="Calibri" w:hAnsi="Calibri" w:cs="Calibri"/>
        </w:rPr>
        <w:t>What makes inclusive communities? Meanings, tensions, change needed</w:t>
      </w:r>
      <w:r>
        <w:rPr>
          <w:rFonts w:ascii="Calibri" w:eastAsia="Calibri" w:hAnsi="Calibri" w:cs="Calibri"/>
        </w:rPr>
        <w:t>’,</w:t>
      </w:r>
      <w:r w:rsidRPr="008E212B">
        <w:rPr>
          <w:rFonts w:ascii="Calibri" w:eastAsia="Calibri" w:hAnsi="Calibri" w:cs="Calibri"/>
        </w:rPr>
        <w:t xml:space="preserve"> Planning Inclusive Communities Research Project Stage 1a report 3 MAR (2023) </w:t>
      </w:r>
      <w:r w:rsidRPr="008E212B">
        <w:rPr>
          <w:rFonts w:ascii="Calibri" w:eastAsia="Calibri" w:hAnsi="Calibri" w:cs="Calibri"/>
          <w:i/>
        </w:rPr>
        <w:t>University of Tasmania</w:t>
      </w:r>
      <w:r w:rsidRPr="008E212B">
        <w:rPr>
          <w:rFonts w:ascii="Calibri" w:eastAsia="Calibri" w:hAnsi="Calibri" w:cs="Calibri"/>
          <w:i/>
          <w:iCs/>
        </w:rPr>
        <w:t xml:space="preserve"> </w:t>
      </w:r>
      <w:r w:rsidRPr="008E212B">
        <w:rPr>
          <w:rFonts w:ascii="Calibri" w:eastAsia="Calibri" w:hAnsi="Calibri" w:cs="Calibri"/>
        </w:rPr>
        <w:t>17</w:t>
      </w:r>
      <w:r w:rsidRPr="008E212B">
        <w:rPr>
          <w:rFonts w:ascii="Calibri" w:eastAsia="Calibri" w:hAnsi="Calibri" w:cs="Calibri"/>
          <w:i/>
          <w:iCs/>
        </w:rPr>
        <w:t>.</w:t>
      </w:r>
    </w:p>
  </w:footnote>
  <w:footnote w:id="15">
    <w:p w14:paraId="11A1C429" w14:textId="554011C8" w:rsidR="009A748B" w:rsidRPr="009A748B" w:rsidRDefault="009A748B">
      <w:pPr>
        <w:pStyle w:val="FootnoteText"/>
        <w:rPr>
          <w:lang w:val="en-GB"/>
        </w:rPr>
      </w:pPr>
      <w:r>
        <w:rPr>
          <w:rStyle w:val="FootnoteReference"/>
        </w:rPr>
        <w:footnoteRef/>
      </w:r>
      <w:r>
        <w:t xml:space="preserve"> </w:t>
      </w:r>
      <w:r>
        <w:rPr>
          <w:lang w:val="en-GB"/>
        </w:rPr>
        <w:t xml:space="preserve">See for example </w:t>
      </w:r>
      <w:r w:rsidRPr="009A748B">
        <w:rPr>
          <w:lang w:val="en-GB"/>
        </w:rPr>
        <w:t xml:space="preserve">Ray Oldenburg and Karen Christensen, </w:t>
      </w:r>
      <w:r w:rsidRPr="009A748B">
        <w:rPr>
          <w:i/>
          <w:iCs/>
          <w:lang w:val="en-GB"/>
        </w:rPr>
        <w:t>Third Places: A Very VERY Short Introduction</w:t>
      </w:r>
      <w:r w:rsidRPr="009A748B">
        <w:rPr>
          <w:lang w:val="en-GB"/>
        </w:rPr>
        <w:t>, 2023, Berkshire Publishing Group</w:t>
      </w:r>
      <w:r>
        <w:rPr>
          <w:lang w:val="en-GB"/>
        </w:rPr>
        <w:t>.</w:t>
      </w:r>
    </w:p>
  </w:footnote>
  <w:footnote w:id="16">
    <w:p w14:paraId="258AFCF3" w14:textId="77777777" w:rsidR="000D5EC1" w:rsidRPr="00D546AC" w:rsidRDefault="000D5EC1" w:rsidP="000D5EC1">
      <w:pPr>
        <w:pStyle w:val="FootnoteText"/>
        <w:rPr>
          <w:lang w:val="en-GB"/>
        </w:rPr>
      </w:pPr>
      <w:r>
        <w:rPr>
          <w:rStyle w:val="FootnoteReference"/>
        </w:rPr>
        <w:footnoteRef/>
      </w:r>
      <w:r>
        <w:t xml:space="preserve"> See for example page 100 of the Discussion Paper.</w:t>
      </w:r>
    </w:p>
  </w:footnote>
  <w:footnote w:id="17">
    <w:p w14:paraId="17FBAEFF" w14:textId="32F66387" w:rsidR="675D3168" w:rsidRDefault="675D3168" w:rsidP="675D3168">
      <w:pPr>
        <w:pStyle w:val="FootnoteText"/>
      </w:pPr>
      <w:r w:rsidRPr="675D3168">
        <w:rPr>
          <w:rStyle w:val="FootnoteReference"/>
        </w:rPr>
        <w:footnoteRef/>
      </w:r>
      <w:r>
        <w:t xml:space="preserve"> </w:t>
      </w:r>
      <w:r w:rsidR="00930583" w:rsidRPr="00930583">
        <w:t xml:space="preserve">See page </w:t>
      </w:r>
      <w:r w:rsidR="00930583">
        <w:t>59</w:t>
      </w:r>
      <w:r w:rsidR="00930583" w:rsidRPr="00930583">
        <w:t xml:space="preserve"> of the Discussion Paper.</w:t>
      </w:r>
    </w:p>
  </w:footnote>
  <w:footnote w:id="18">
    <w:p w14:paraId="3F5809CE" w14:textId="34989A89" w:rsidR="5F5A6EB0" w:rsidRDefault="5F5A6EB0" w:rsidP="5F5A6EB0">
      <w:pPr>
        <w:pStyle w:val="FootnoteText"/>
      </w:pPr>
      <w:r w:rsidRPr="5F5A6EB0">
        <w:rPr>
          <w:rStyle w:val="FootnoteReference"/>
        </w:rPr>
        <w:footnoteRef/>
      </w:r>
      <w:r>
        <w:t xml:space="preserve"> </w:t>
      </w:r>
      <w:r w:rsidRPr="5F5A6EB0">
        <w:rPr>
          <w:rFonts w:ascii="Calibri" w:eastAsia="Calibri" w:hAnsi="Calibri" w:cs="Calibri"/>
          <w:color w:val="000000" w:themeColor="text1"/>
        </w:rPr>
        <w:t xml:space="preserve">PlanSA, ‘Planning and Design Code’, version 2023.9, 29 June 2023, pp.1442-1443, available at </w:t>
      </w:r>
      <w:hyperlink>
        <w:r w:rsidRPr="5F5A6EB0">
          <w:rPr>
            <w:rStyle w:val="Hyperlink"/>
            <w:rFonts w:ascii="Calibri" w:eastAsia="Calibri" w:hAnsi="Calibri" w:cs="Calibri"/>
          </w:rPr>
          <w:t>https://code.plan.sa.gov.au/__data/assets/pdf_file/0005/797684/Full_Code-29062023_Final.pdf</w:t>
        </w:r>
      </w:hyperlink>
      <w:r w:rsidRPr="5F5A6EB0">
        <w:rPr>
          <w:rFonts w:ascii="Calibri" w:eastAsia="Calibri" w:hAnsi="Calibri" w:cs="Calibri"/>
          <w:color w:val="000000" w:themeColor="text1"/>
          <w:lang w:val="en-GB"/>
        </w:rPr>
        <w:t>.</w:t>
      </w:r>
    </w:p>
  </w:footnote>
  <w:footnote w:id="19">
    <w:p w14:paraId="0176624A" w14:textId="4E23B8FE" w:rsidR="00CD02FE" w:rsidRPr="00CD02FE" w:rsidRDefault="00CD02FE">
      <w:pPr>
        <w:pStyle w:val="FootnoteText"/>
        <w:rPr>
          <w:lang w:val="en-GB"/>
        </w:rPr>
      </w:pPr>
      <w:r>
        <w:rPr>
          <w:rStyle w:val="FootnoteReference"/>
        </w:rPr>
        <w:footnoteRef/>
      </w:r>
      <w:r>
        <w:t xml:space="preserve"> </w:t>
      </w:r>
      <w:r>
        <w:rPr>
          <w:lang w:val="en-GB"/>
        </w:rPr>
        <w:t xml:space="preserve">For example, </w:t>
      </w:r>
      <w:r w:rsidR="002A5D60">
        <w:rPr>
          <w:lang w:val="en-GB"/>
        </w:rPr>
        <w:t>at page 7 of the Discussion Paper.</w:t>
      </w:r>
    </w:p>
  </w:footnote>
  <w:footnote w:id="20">
    <w:p w14:paraId="29EDBBAF" w14:textId="24E76354" w:rsidR="000567BE" w:rsidRPr="00A566E9" w:rsidRDefault="000567BE">
      <w:pPr>
        <w:pStyle w:val="FootnoteText"/>
        <w:rPr>
          <w:lang w:val="en-GB"/>
        </w:rPr>
      </w:pPr>
      <w:r>
        <w:rPr>
          <w:rStyle w:val="FootnoteReference"/>
        </w:rPr>
        <w:footnoteRef/>
      </w:r>
      <w:r>
        <w:t xml:space="preserve"> </w:t>
      </w:r>
      <w:r w:rsidR="007B642D">
        <w:rPr>
          <w:lang w:val="en-GB"/>
        </w:rPr>
        <w:t xml:space="preserve">See </w:t>
      </w:r>
      <w:r w:rsidR="007B642D">
        <w:rPr>
          <w:i/>
          <w:iCs/>
          <w:lang w:val="en-GB"/>
        </w:rPr>
        <w:t>Australia’s Disability Strategy 2021-2031</w:t>
      </w:r>
      <w:r w:rsidR="007B642D">
        <w:rPr>
          <w:lang w:val="en-GB"/>
        </w:rPr>
        <w:t xml:space="preserve">, available at </w:t>
      </w:r>
      <w:r w:rsidR="00511CE2" w:rsidRPr="00511CE2">
        <w:rPr>
          <w:lang w:val="en-GB"/>
        </w:rPr>
        <w:t>https://www.disabilitygateway.gov.au/ads</w:t>
      </w:r>
      <w:r w:rsidR="00511CE2">
        <w:rPr>
          <w:lang w:val="en-GB"/>
        </w:rPr>
        <w:t>.</w:t>
      </w:r>
    </w:p>
  </w:footnote>
  <w:footnote w:id="21">
    <w:p w14:paraId="2D37FF2C" w14:textId="7F252657" w:rsidR="5F5A6EB0" w:rsidRDefault="5F5A6EB0" w:rsidP="5F5A6EB0">
      <w:pPr>
        <w:pStyle w:val="FootnoteText"/>
      </w:pPr>
      <w:r w:rsidRPr="5F5A6EB0">
        <w:rPr>
          <w:rStyle w:val="FootnoteReference"/>
        </w:rPr>
        <w:footnoteRef/>
      </w:r>
      <w:r>
        <w:t xml:space="preserve"> </w:t>
      </w:r>
      <w:r w:rsidRPr="5F5A6EB0">
        <w:rPr>
          <w:rFonts w:ascii="Calibri" w:eastAsia="Calibri" w:hAnsi="Calibri" w:cs="Calibri"/>
          <w:color w:val="000000" w:themeColor="text1"/>
        </w:rPr>
        <w:t xml:space="preserve">For more information, see Inclusive School Communities project, ‘Final Project Evaluation Report’, October 2020, available at </w:t>
      </w:r>
      <w:hyperlink r:id="rId9">
        <w:r w:rsidRPr="5F5A6EB0">
          <w:rPr>
            <w:rStyle w:val="Hyperlink"/>
            <w:rFonts w:ascii="Calibri" w:eastAsia="Calibri" w:hAnsi="Calibri" w:cs="Calibri"/>
          </w:rPr>
          <w:t>https://inclusiveschoolcommunities.org.au/news/final-project-evaluation-report</w:t>
        </w:r>
      </w:hyperlink>
      <w:r w:rsidRPr="5F5A6EB0">
        <w:rPr>
          <w:rFonts w:ascii="Calibri" w:eastAsia="Calibri" w:hAnsi="Calibri" w:cs="Calibri"/>
          <w:color w:val="000000" w:themeColor="text1"/>
        </w:rPr>
        <w:t xml:space="preserve">. </w:t>
      </w:r>
      <w:r w:rsidRPr="5F5A6EB0">
        <w:t xml:space="preserve"> </w:t>
      </w:r>
    </w:p>
  </w:footnote>
  <w:footnote w:id="22">
    <w:p w14:paraId="349C2373" w14:textId="4ED626C6" w:rsidR="00C66212" w:rsidRDefault="00C66212" w:rsidP="00C66212">
      <w:pPr>
        <w:pStyle w:val="FootnoteText"/>
      </w:pPr>
      <w:r w:rsidRPr="5F5A6EB0">
        <w:rPr>
          <w:rStyle w:val="FootnoteReference"/>
        </w:rPr>
        <w:footnoteRef/>
      </w:r>
      <w:r>
        <w:t xml:space="preserve"> </w:t>
      </w:r>
      <w:r w:rsidRPr="5F5A6EB0">
        <w:rPr>
          <w:rFonts w:ascii="Calibri" w:eastAsia="Calibri" w:hAnsi="Calibri" w:cs="Calibri"/>
          <w:color w:val="000000" w:themeColor="text1"/>
        </w:rPr>
        <w:t>National Disability Authority Centre for Excellence in Universal Design (2014), What is universal design, http://universaldesign.ie/What-is-Universal-Design/</w:t>
      </w:r>
    </w:p>
  </w:footnote>
  <w:footnote w:id="23">
    <w:p w14:paraId="6508BF94" w14:textId="77777777" w:rsidR="00C66212" w:rsidRDefault="00C66212" w:rsidP="00C66212">
      <w:pPr>
        <w:pStyle w:val="FootnoteText"/>
        <w:rPr>
          <w:rFonts w:ascii="Calibri" w:eastAsia="Calibri" w:hAnsi="Calibri" w:cs="Calibri"/>
          <w:color w:val="000000" w:themeColor="text1"/>
        </w:rPr>
      </w:pPr>
      <w:r w:rsidRPr="5F5A6EB0">
        <w:rPr>
          <w:rStyle w:val="FootnoteReference"/>
        </w:rPr>
        <w:footnoteRef/>
      </w:r>
      <w:r>
        <w:t xml:space="preserve"> </w:t>
      </w:r>
      <w:r w:rsidRPr="5F5A6EB0">
        <w:rPr>
          <w:rFonts w:ascii="Calibri" w:eastAsia="Calibri" w:hAnsi="Calibri" w:cs="Calibri"/>
          <w:color w:val="000000" w:themeColor="text1"/>
        </w:rPr>
        <w:t xml:space="preserve">Government of South Australia Department for Education and Child Development (2016), Effective Building Practices for Children and Students with Disability project report, </w:t>
      </w:r>
      <w:hyperlink r:id="rId10">
        <w:r w:rsidRPr="5F5A6EB0">
          <w:rPr>
            <w:rStyle w:val="Hyperlink"/>
            <w:rFonts w:ascii="Calibri" w:eastAsia="Calibri" w:hAnsi="Calibri" w:cs="Calibri"/>
          </w:rPr>
          <w:t>https://www.education.sa.gov.au/sites/g/files/net691/f/effective-building-practices-for-children-and-students-with-disability-august-2016.pdf</w:t>
        </w:r>
      </w:hyperlink>
    </w:p>
    <w:p w14:paraId="1BAA7D14" w14:textId="77777777" w:rsidR="00C66212" w:rsidRDefault="00C66212" w:rsidP="00C66212">
      <w:pPr>
        <w:pStyle w:val="FootnoteText"/>
      </w:pPr>
    </w:p>
  </w:footnote>
  <w:footnote w:id="24">
    <w:p w14:paraId="23BC687D" w14:textId="3B4AD8FC" w:rsidR="5F5A6EB0" w:rsidRDefault="5F5A6EB0" w:rsidP="5F5A6EB0">
      <w:pPr>
        <w:pStyle w:val="FootnoteText"/>
      </w:pPr>
      <w:r w:rsidRPr="5F5A6EB0">
        <w:rPr>
          <w:rStyle w:val="FootnoteReference"/>
        </w:rPr>
        <w:footnoteRef/>
      </w:r>
      <w:r>
        <w:t xml:space="preserve"> </w:t>
      </w:r>
      <w:r w:rsidRPr="5F5A6EB0">
        <w:rPr>
          <w:rFonts w:ascii="Calibri" w:eastAsia="Calibri" w:hAnsi="Calibri" w:cs="Calibri"/>
          <w:color w:val="000000" w:themeColor="text1"/>
        </w:rPr>
        <w:t xml:space="preserve">Changing Places, ‘Find a Changing Places toilet’, accessed 28 March 2023, available at </w:t>
      </w:r>
      <w:hyperlink r:id="rId11">
        <w:r w:rsidRPr="5F5A6EB0">
          <w:rPr>
            <w:rStyle w:val="Hyperlink"/>
            <w:rFonts w:ascii="Calibri" w:eastAsia="Calibri" w:hAnsi="Calibri" w:cs="Calibri"/>
          </w:rPr>
          <w:t>https://changingplaces.org.au/find</w:t>
        </w:r>
      </w:hyperlink>
      <w:r w:rsidRPr="5F5A6EB0">
        <w:rPr>
          <w:rFonts w:ascii="Calibri" w:eastAsia="Calibri" w:hAnsi="Calibri" w:cs="Calibri"/>
          <w:color w:val="000000" w:themeColor="text1"/>
        </w:rPr>
        <w:t xml:space="preserve">. </w:t>
      </w:r>
      <w:r w:rsidRPr="5F5A6EB0">
        <w:t xml:space="preserve"> </w:t>
      </w:r>
    </w:p>
  </w:footnote>
  <w:footnote w:id="25">
    <w:p w14:paraId="348DD894" w14:textId="4B87ED7B" w:rsidR="5F5A6EB0" w:rsidRDefault="5F5A6EB0" w:rsidP="5F5A6EB0">
      <w:pPr>
        <w:pStyle w:val="FootnoteText"/>
      </w:pPr>
      <w:r w:rsidRPr="5F5A6EB0">
        <w:rPr>
          <w:rStyle w:val="FootnoteReference"/>
        </w:rPr>
        <w:footnoteRef/>
      </w:r>
      <w:r>
        <w:t xml:space="preserve"> </w:t>
      </w:r>
      <w:r w:rsidRPr="5F5A6EB0">
        <w:rPr>
          <w:rFonts w:ascii="Calibri" w:eastAsia="Calibri" w:hAnsi="Calibri" w:cs="Calibri"/>
          <w:color w:val="000000" w:themeColor="text1"/>
        </w:rPr>
        <w:t xml:space="preserve">For further information, see Changing Places, ‘MLAK Keys’, at </w:t>
      </w:r>
      <w:hyperlink r:id="rId12">
        <w:r w:rsidRPr="5F5A6EB0">
          <w:rPr>
            <w:rStyle w:val="Hyperlink"/>
            <w:rFonts w:ascii="Calibri" w:eastAsia="Calibri" w:hAnsi="Calibri" w:cs="Calibri"/>
          </w:rPr>
          <w:t>https://changingplaces.org.au/mlak</w:t>
        </w:r>
      </w:hyperlink>
      <w:r w:rsidRPr="5F5A6EB0">
        <w:rPr>
          <w:rFonts w:ascii="Calibri" w:eastAsia="Calibri" w:hAnsi="Calibri" w:cs="Calibri"/>
          <w:color w:val="000000" w:themeColor="text1"/>
        </w:rPr>
        <w:t xml:space="preserve">. </w:t>
      </w:r>
      <w:r w:rsidRPr="5F5A6EB0">
        <w:t xml:space="preserve"> </w:t>
      </w:r>
    </w:p>
  </w:footnote>
  <w:footnote w:id="26">
    <w:p w14:paraId="7BDB468A" w14:textId="09A854A7" w:rsidR="5F5A6EB0" w:rsidRPr="008E212B" w:rsidRDefault="5F5A6EB0" w:rsidP="008E212B">
      <w:pPr>
        <w:pStyle w:val="FootnoteText"/>
      </w:pPr>
      <w:r w:rsidRPr="008E212B">
        <w:rPr>
          <w:rStyle w:val="FootnoteReference"/>
        </w:rPr>
        <w:footnoteRef/>
      </w:r>
      <w:r w:rsidRPr="008E212B">
        <w:t xml:space="preserve"> </w:t>
      </w:r>
      <w:r w:rsidRPr="008E212B">
        <w:rPr>
          <w:rFonts w:ascii="Calibri" w:eastAsia="Calibri" w:hAnsi="Calibri" w:cs="Calibri"/>
          <w:color w:val="000000" w:themeColor="text1"/>
        </w:rPr>
        <w:t xml:space="preserve">Government of South Australia, ‘Annual Report 2021-22: Inclusive SA State Disability Inclusion Plan 2019-2023', available at </w:t>
      </w:r>
      <w:hyperlink r:id="rId13">
        <w:r w:rsidRPr="008E212B">
          <w:rPr>
            <w:rStyle w:val="Hyperlink"/>
            <w:rFonts w:ascii="Calibri" w:eastAsia="Calibri" w:hAnsi="Calibri" w:cs="Calibri"/>
          </w:rPr>
          <w:t>https://inclusive.sa.gov.au/__data/assets/pdf_file/0017/141641/Inclusive-SA-Annual-Report-2021-2022.pdf</w:t>
        </w:r>
      </w:hyperlink>
      <w:r w:rsidRPr="008E212B">
        <w:rPr>
          <w:rFonts w:ascii="Calibri" w:eastAsia="Calibri" w:hAnsi="Calibri" w:cs="Calibri"/>
          <w:color w:val="000000" w:themeColor="text1"/>
        </w:rPr>
        <w:t xml:space="preserve">. </w:t>
      </w:r>
      <w:r w:rsidRPr="008E212B">
        <w:t xml:space="preserve"> </w:t>
      </w:r>
    </w:p>
  </w:footnote>
  <w:footnote w:id="27">
    <w:p w14:paraId="2EF0E064" w14:textId="0AD7B55C" w:rsidR="05309F93" w:rsidRPr="008E212B" w:rsidRDefault="05309F93" w:rsidP="008E212B">
      <w:pPr>
        <w:spacing w:line="240" w:lineRule="auto"/>
        <w:rPr>
          <w:sz w:val="20"/>
          <w:szCs w:val="20"/>
        </w:rPr>
      </w:pPr>
      <w:r w:rsidRPr="008E212B">
        <w:rPr>
          <w:rStyle w:val="FootnoteReference"/>
          <w:sz w:val="20"/>
          <w:szCs w:val="20"/>
        </w:rPr>
        <w:footnoteRef/>
      </w:r>
      <w:r w:rsidRPr="008E212B">
        <w:rPr>
          <w:sz w:val="20"/>
          <w:szCs w:val="20"/>
        </w:rPr>
        <w:t xml:space="preserve"> </w:t>
      </w:r>
      <w:r w:rsidRPr="008E212B">
        <w:rPr>
          <w:rFonts w:ascii="Calibri" w:eastAsia="Calibri" w:hAnsi="Calibri" w:cs="Calibri"/>
          <w:sz w:val="20"/>
          <w:szCs w:val="20"/>
        </w:rPr>
        <w:t>Lisa Stafford, Matt Novacevski, Rosie Pretorius, Pippa Rogers</w:t>
      </w:r>
      <w:r w:rsidR="0008051A">
        <w:rPr>
          <w:rFonts w:ascii="Calibri" w:eastAsia="Calibri" w:hAnsi="Calibri" w:cs="Calibri"/>
          <w:sz w:val="20"/>
          <w:szCs w:val="20"/>
        </w:rPr>
        <w:t>,</w:t>
      </w:r>
      <w:r w:rsidRPr="008E212B">
        <w:rPr>
          <w:rFonts w:ascii="Calibri" w:eastAsia="Calibri" w:hAnsi="Calibri" w:cs="Calibri"/>
          <w:sz w:val="20"/>
          <w:szCs w:val="20"/>
        </w:rPr>
        <w:t xml:space="preserve"> </w:t>
      </w:r>
      <w:r w:rsidR="0008051A">
        <w:rPr>
          <w:rFonts w:ascii="Calibri" w:eastAsia="Calibri" w:hAnsi="Calibri" w:cs="Calibri"/>
          <w:sz w:val="20"/>
          <w:szCs w:val="20"/>
        </w:rPr>
        <w:t>‘</w:t>
      </w:r>
      <w:r w:rsidRPr="008E212B">
        <w:rPr>
          <w:rFonts w:ascii="Calibri" w:eastAsia="Calibri" w:hAnsi="Calibri" w:cs="Calibri"/>
          <w:sz w:val="20"/>
          <w:szCs w:val="20"/>
        </w:rPr>
        <w:t>What makes inclusive communities? Meanings, tensions, change needed</w:t>
      </w:r>
      <w:r w:rsidR="0008051A">
        <w:rPr>
          <w:rFonts w:ascii="Calibri" w:eastAsia="Calibri" w:hAnsi="Calibri" w:cs="Calibri"/>
          <w:sz w:val="20"/>
          <w:szCs w:val="20"/>
        </w:rPr>
        <w:t>’,</w:t>
      </w:r>
      <w:r w:rsidRPr="008E212B">
        <w:rPr>
          <w:rFonts w:ascii="Calibri" w:eastAsia="Calibri" w:hAnsi="Calibri" w:cs="Calibri"/>
          <w:sz w:val="20"/>
          <w:szCs w:val="20"/>
        </w:rPr>
        <w:t xml:space="preserve"> Planning Inclusive Communities Research Project Stage 1a report 3 MAR </w:t>
      </w:r>
      <w:r w:rsidR="5D1337C4" w:rsidRPr="008E212B">
        <w:rPr>
          <w:rFonts w:ascii="Calibri" w:eastAsia="Calibri" w:hAnsi="Calibri" w:cs="Calibri"/>
          <w:sz w:val="20"/>
          <w:szCs w:val="20"/>
        </w:rPr>
        <w:t>(</w:t>
      </w:r>
      <w:r w:rsidRPr="008E212B">
        <w:rPr>
          <w:rFonts w:ascii="Calibri" w:eastAsia="Calibri" w:hAnsi="Calibri" w:cs="Calibri"/>
          <w:sz w:val="20"/>
          <w:szCs w:val="20"/>
        </w:rPr>
        <w:t>2023</w:t>
      </w:r>
      <w:r w:rsidR="5D1337C4" w:rsidRPr="008E212B">
        <w:rPr>
          <w:rFonts w:ascii="Calibri" w:eastAsia="Calibri" w:hAnsi="Calibri" w:cs="Calibri"/>
          <w:sz w:val="20"/>
          <w:szCs w:val="20"/>
        </w:rPr>
        <w:t>)</w:t>
      </w:r>
      <w:r w:rsidRPr="008E212B">
        <w:rPr>
          <w:rFonts w:ascii="Calibri" w:eastAsia="Calibri" w:hAnsi="Calibri" w:cs="Calibri"/>
          <w:sz w:val="20"/>
          <w:szCs w:val="20"/>
        </w:rPr>
        <w:t xml:space="preserve"> </w:t>
      </w:r>
      <w:r w:rsidRPr="008E212B">
        <w:rPr>
          <w:rFonts w:ascii="Calibri" w:eastAsia="Calibri" w:hAnsi="Calibri" w:cs="Calibri"/>
          <w:i/>
          <w:sz w:val="20"/>
          <w:szCs w:val="20"/>
        </w:rPr>
        <w:t>University of Tasmania</w:t>
      </w:r>
      <w:r w:rsidR="5D1337C4" w:rsidRPr="008E212B">
        <w:rPr>
          <w:rFonts w:ascii="Calibri" w:eastAsia="Calibri" w:hAnsi="Calibri" w:cs="Calibri"/>
          <w:i/>
          <w:iCs/>
          <w:sz w:val="20"/>
          <w:szCs w:val="20"/>
        </w:rPr>
        <w:t xml:space="preserve"> </w:t>
      </w:r>
      <w:r w:rsidR="61E6116F" w:rsidRPr="008E212B">
        <w:rPr>
          <w:rFonts w:ascii="Calibri" w:eastAsia="Calibri" w:hAnsi="Calibri" w:cs="Calibri"/>
          <w:sz w:val="20"/>
          <w:szCs w:val="20"/>
        </w:rPr>
        <w:t>17</w:t>
      </w:r>
      <w:r w:rsidR="5D1337C4" w:rsidRPr="008E212B">
        <w:rPr>
          <w:rFonts w:ascii="Calibri" w:eastAsia="Calibri" w:hAnsi="Calibri" w:cs="Calibri"/>
          <w:i/>
          <w:iCs/>
          <w:sz w:val="20"/>
          <w:szCs w:val="20"/>
        </w:rPr>
        <w:t>.</w:t>
      </w:r>
    </w:p>
  </w:footnote>
  <w:footnote w:id="28">
    <w:p w14:paraId="3279E495" w14:textId="7AFDE358" w:rsidR="61E6116F" w:rsidRPr="008E212B" w:rsidRDefault="61E6116F" w:rsidP="008E212B">
      <w:pPr>
        <w:pStyle w:val="FootnoteText"/>
      </w:pPr>
      <w:r w:rsidRPr="008E212B">
        <w:rPr>
          <w:rStyle w:val="FootnoteReference"/>
        </w:rPr>
        <w:footnoteRef/>
      </w:r>
      <w:r w:rsidRPr="008E212B">
        <w:t xml:space="preserve"> Ibid.</w:t>
      </w:r>
    </w:p>
  </w:footnote>
  <w:footnote w:id="29">
    <w:p w14:paraId="0D485D4C" w14:textId="715C003B" w:rsidR="7D7AC354" w:rsidRDefault="7D7AC354" w:rsidP="7D7AC354">
      <w:pPr>
        <w:pStyle w:val="FootnoteText"/>
        <w:rPr>
          <w:rFonts w:ascii="Calibri" w:eastAsia="Calibri" w:hAnsi="Calibri" w:cs="Calibri"/>
        </w:rPr>
      </w:pPr>
      <w:r w:rsidRPr="7D7AC354">
        <w:rPr>
          <w:rStyle w:val="FootnoteReference"/>
        </w:rPr>
        <w:footnoteRef/>
      </w:r>
      <w:r>
        <w:t xml:space="preserve"> Ibid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988"/>
    <w:multiLevelType w:val="hybridMultilevel"/>
    <w:tmpl w:val="1A28B986"/>
    <w:lvl w:ilvl="0" w:tplc="81840D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EA7FD7"/>
    <w:multiLevelType w:val="hybridMultilevel"/>
    <w:tmpl w:val="74C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4594A"/>
    <w:multiLevelType w:val="hybridMultilevel"/>
    <w:tmpl w:val="46AE04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D34AC3"/>
    <w:multiLevelType w:val="hybridMultilevel"/>
    <w:tmpl w:val="DDD24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F06DF5"/>
    <w:multiLevelType w:val="multilevel"/>
    <w:tmpl w:val="98F0AC4A"/>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517F54"/>
    <w:multiLevelType w:val="hybridMultilevel"/>
    <w:tmpl w:val="2190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D75D7A"/>
    <w:multiLevelType w:val="hybridMultilevel"/>
    <w:tmpl w:val="A170E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BA4821"/>
    <w:multiLevelType w:val="hybridMultilevel"/>
    <w:tmpl w:val="47DE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827FE8"/>
    <w:multiLevelType w:val="hybridMultilevel"/>
    <w:tmpl w:val="9384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7F2B31"/>
    <w:multiLevelType w:val="hybridMultilevel"/>
    <w:tmpl w:val="548AA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3412"/>
    <w:multiLevelType w:val="hybridMultilevel"/>
    <w:tmpl w:val="C0CE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431556"/>
    <w:multiLevelType w:val="hybridMultilevel"/>
    <w:tmpl w:val="F9F24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D578B7"/>
    <w:multiLevelType w:val="hybridMultilevel"/>
    <w:tmpl w:val="878EF9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9B1E4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C3653DB"/>
    <w:multiLevelType w:val="hybridMultilevel"/>
    <w:tmpl w:val="98F6B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2051B04"/>
    <w:multiLevelType w:val="hybridMultilevel"/>
    <w:tmpl w:val="28DCF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30462"/>
    <w:multiLevelType w:val="hybridMultilevel"/>
    <w:tmpl w:val="15CEF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3417AF"/>
    <w:multiLevelType w:val="hybridMultilevel"/>
    <w:tmpl w:val="97B0E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BD504F"/>
    <w:multiLevelType w:val="hybridMultilevel"/>
    <w:tmpl w:val="C0C02FDE"/>
    <w:lvl w:ilvl="0" w:tplc="C6F8CE52">
      <w:start w:val="1"/>
      <w:numFmt w:val="bullet"/>
      <w:lvlText w:val=""/>
      <w:lvlJc w:val="left"/>
      <w:pPr>
        <w:ind w:left="1440" w:hanging="360"/>
      </w:pPr>
      <w:rPr>
        <w:rFonts w:ascii="Symbol" w:hAnsi="Symbol" w:hint="default"/>
        <w:color w:val="00206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E075986"/>
    <w:multiLevelType w:val="hybridMultilevel"/>
    <w:tmpl w:val="8AF2D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A97A32"/>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E55910"/>
    <w:multiLevelType w:val="hybridMultilevel"/>
    <w:tmpl w:val="401A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036EAF"/>
    <w:multiLevelType w:val="hybridMultilevel"/>
    <w:tmpl w:val="EBA6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26218"/>
    <w:multiLevelType w:val="hybridMultilevel"/>
    <w:tmpl w:val="EE3C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8E058A"/>
    <w:multiLevelType w:val="multilevel"/>
    <w:tmpl w:val="4F9C9F5A"/>
    <w:lvl w:ilvl="0">
      <w:start w:val="1"/>
      <w:numFmt w:val="bullet"/>
      <w:lvlText w:val=""/>
      <w:lvlJc w:val="left"/>
      <w:pPr>
        <w:ind w:left="525" w:hanging="525"/>
      </w:pPr>
      <w:rPr>
        <w:rFonts w:ascii="Symbol" w:hAnsi="Symbol" w:hint="default"/>
      </w:rPr>
    </w:lvl>
    <w:lvl w:ilvl="1">
      <w:start w:val="1"/>
      <w:numFmt w:val="bullet"/>
      <w:lvlText w:val=""/>
      <w:lvlJc w:val="left"/>
      <w:pPr>
        <w:ind w:left="885" w:hanging="525"/>
      </w:pPr>
      <w:rPr>
        <w:rFonts w:ascii="Symbol" w:hAnsi="Symbol"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145D81"/>
    <w:multiLevelType w:val="hybridMultilevel"/>
    <w:tmpl w:val="E022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754B4"/>
    <w:multiLevelType w:val="multilevel"/>
    <w:tmpl w:val="7ACEB57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7506146"/>
    <w:multiLevelType w:val="hybridMultilevel"/>
    <w:tmpl w:val="A6024020"/>
    <w:lvl w:ilvl="0" w:tplc="0C090001">
      <w:start w:val="1"/>
      <w:numFmt w:val="bullet"/>
      <w:lvlText w:val=""/>
      <w:lvlJc w:val="left"/>
      <w:pPr>
        <w:ind w:left="720" w:hanging="360"/>
      </w:pPr>
      <w:rPr>
        <w:rFonts w:ascii="Symbol" w:hAnsi="Symbol" w:hint="default"/>
      </w:rPr>
    </w:lvl>
    <w:lvl w:ilvl="1" w:tplc="9012A79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F15CAE"/>
    <w:multiLevelType w:val="hybridMultilevel"/>
    <w:tmpl w:val="A610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F43BAC"/>
    <w:multiLevelType w:val="hybridMultilevel"/>
    <w:tmpl w:val="0A361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410C64"/>
    <w:multiLevelType w:val="hybridMultilevel"/>
    <w:tmpl w:val="F5D2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6028A0"/>
    <w:multiLevelType w:val="multilevel"/>
    <w:tmpl w:val="DDBE4F88"/>
    <w:lvl w:ilvl="0">
      <w:start w:val="1"/>
      <w:numFmt w:val="bullet"/>
      <w:lvlText w:val=""/>
      <w:lvlJc w:val="left"/>
      <w:pPr>
        <w:ind w:left="525" w:hanging="525"/>
      </w:pPr>
      <w:rPr>
        <w:rFonts w:ascii="Symbol" w:hAnsi="Symbol"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9E3BCB"/>
    <w:multiLevelType w:val="multilevel"/>
    <w:tmpl w:val="3D54379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0A96CD8"/>
    <w:multiLevelType w:val="hybridMultilevel"/>
    <w:tmpl w:val="DDCC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CA43F8"/>
    <w:multiLevelType w:val="hybridMultilevel"/>
    <w:tmpl w:val="61B27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2A22FAB"/>
    <w:multiLevelType w:val="hybridMultilevel"/>
    <w:tmpl w:val="D338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92469B"/>
    <w:multiLevelType w:val="hybridMultilevel"/>
    <w:tmpl w:val="D52CB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49003F3"/>
    <w:multiLevelType w:val="hybridMultilevel"/>
    <w:tmpl w:val="6B3C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9300782">
    <w:abstractNumId w:val="5"/>
  </w:num>
  <w:num w:numId="2" w16cid:durableId="1285845034">
    <w:abstractNumId w:val="3"/>
  </w:num>
  <w:num w:numId="3" w16cid:durableId="1532837733">
    <w:abstractNumId w:val="37"/>
  </w:num>
  <w:num w:numId="4" w16cid:durableId="223687749">
    <w:abstractNumId w:val="22"/>
  </w:num>
  <w:num w:numId="5" w16cid:durableId="1892692483">
    <w:abstractNumId w:val="20"/>
  </w:num>
  <w:num w:numId="6" w16cid:durableId="1543634978">
    <w:abstractNumId w:val="35"/>
  </w:num>
  <w:num w:numId="7" w16cid:durableId="523059571">
    <w:abstractNumId w:val="7"/>
  </w:num>
  <w:num w:numId="8" w16cid:durableId="1013383875">
    <w:abstractNumId w:val="8"/>
  </w:num>
  <w:num w:numId="9" w16cid:durableId="87120674">
    <w:abstractNumId w:val="6"/>
  </w:num>
  <w:num w:numId="10" w16cid:durableId="674843447">
    <w:abstractNumId w:val="30"/>
  </w:num>
  <w:num w:numId="11" w16cid:durableId="1208297091">
    <w:abstractNumId w:val="9"/>
  </w:num>
  <w:num w:numId="12" w16cid:durableId="47463818">
    <w:abstractNumId w:val="23"/>
  </w:num>
  <w:num w:numId="13" w16cid:durableId="1711151639">
    <w:abstractNumId w:val="31"/>
  </w:num>
  <w:num w:numId="14" w16cid:durableId="1169826471">
    <w:abstractNumId w:val="1"/>
  </w:num>
  <w:num w:numId="15" w16cid:durableId="2054646153">
    <w:abstractNumId w:val="21"/>
  </w:num>
  <w:num w:numId="16" w16cid:durableId="1937975995">
    <w:abstractNumId w:val="15"/>
  </w:num>
  <w:num w:numId="17" w16cid:durableId="835725683">
    <w:abstractNumId w:val="34"/>
  </w:num>
  <w:num w:numId="18" w16cid:durableId="1510216288">
    <w:abstractNumId w:val="36"/>
  </w:num>
  <w:num w:numId="19" w16cid:durableId="1481119307">
    <w:abstractNumId w:val="32"/>
  </w:num>
  <w:num w:numId="20" w16cid:durableId="1118987411">
    <w:abstractNumId w:val="19"/>
  </w:num>
  <w:num w:numId="21" w16cid:durableId="628247191">
    <w:abstractNumId w:val="2"/>
  </w:num>
  <w:num w:numId="22" w16cid:durableId="2050950651">
    <w:abstractNumId w:val="33"/>
  </w:num>
  <w:num w:numId="23" w16cid:durableId="61146485">
    <w:abstractNumId w:val="25"/>
  </w:num>
  <w:num w:numId="24" w16cid:durableId="1000616418">
    <w:abstractNumId w:val="27"/>
  </w:num>
  <w:num w:numId="25" w16cid:durableId="891698478">
    <w:abstractNumId w:val="12"/>
  </w:num>
  <w:num w:numId="26" w16cid:durableId="474758651">
    <w:abstractNumId w:val="14"/>
  </w:num>
  <w:num w:numId="27" w16cid:durableId="1927415384">
    <w:abstractNumId w:val="26"/>
  </w:num>
  <w:num w:numId="28" w16cid:durableId="1685352648">
    <w:abstractNumId w:val="11"/>
  </w:num>
  <w:num w:numId="29" w16cid:durableId="1865050483">
    <w:abstractNumId w:val="29"/>
  </w:num>
  <w:num w:numId="30" w16cid:durableId="1566142430">
    <w:abstractNumId w:val="4"/>
  </w:num>
  <w:num w:numId="31" w16cid:durableId="176699308">
    <w:abstractNumId w:val="28"/>
  </w:num>
  <w:num w:numId="32" w16cid:durableId="1395925">
    <w:abstractNumId w:val="17"/>
  </w:num>
  <w:num w:numId="33" w16cid:durableId="488905582">
    <w:abstractNumId w:val="24"/>
  </w:num>
  <w:num w:numId="34" w16cid:durableId="2064326551">
    <w:abstractNumId w:val="16"/>
  </w:num>
  <w:num w:numId="35" w16cid:durableId="786393860">
    <w:abstractNumId w:val="38"/>
  </w:num>
  <w:num w:numId="36" w16cid:durableId="1483810501">
    <w:abstractNumId w:val="5"/>
  </w:num>
  <w:num w:numId="37" w16cid:durableId="889534466">
    <w:abstractNumId w:val="5"/>
  </w:num>
  <w:num w:numId="38" w16cid:durableId="1763261834">
    <w:abstractNumId w:val="5"/>
  </w:num>
  <w:num w:numId="39" w16cid:durableId="894661854">
    <w:abstractNumId w:val="18"/>
  </w:num>
  <w:num w:numId="40" w16cid:durableId="728963477">
    <w:abstractNumId w:val="10"/>
  </w:num>
  <w:num w:numId="41" w16cid:durableId="634531633">
    <w:abstractNumId w:val="13"/>
  </w:num>
  <w:num w:numId="42" w16cid:durableId="1249651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381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71677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568D6C2-2D96-4B00-B604-4E0AB7AA1C37}"/>
    <w:docVar w:name="dgnword-eventsink" w:val="42484960"/>
  </w:docVars>
  <w:rsids>
    <w:rsidRoot w:val="00CC3462"/>
    <w:rsid w:val="00000B88"/>
    <w:rsid w:val="00002191"/>
    <w:rsid w:val="000030BD"/>
    <w:rsid w:val="00003F9C"/>
    <w:rsid w:val="000040A8"/>
    <w:rsid w:val="00004D3E"/>
    <w:rsid w:val="00005BCF"/>
    <w:rsid w:val="00006EE5"/>
    <w:rsid w:val="00007B52"/>
    <w:rsid w:val="00007F60"/>
    <w:rsid w:val="00007FD5"/>
    <w:rsid w:val="00010947"/>
    <w:rsid w:val="0001271E"/>
    <w:rsid w:val="00012992"/>
    <w:rsid w:val="00012CA2"/>
    <w:rsid w:val="000131DE"/>
    <w:rsid w:val="0001480C"/>
    <w:rsid w:val="0001548C"/>
    <w:rsid w:val="000156D9"/>
    <w:rsid w:val="000163ED"/>
    <w:rsid w:val="00016DC7"/>
    <w:rsid w:val="0001723F"/>
    <w:rsid w:val="00017704"/>
    <w:rsid w:val="00017931"/>
    <w:rsid w:val="00021138"/>
    <w:rsid w:val="000216C7"/>
    <w:rsid w:val="00021B3D"/>
    <w:rsid w:val="0002415F"/>
    <w:rsid w:val="000242B7"/>
    <w:rsid w:val="00024C58"/>
    <w:rsid w:val="0002551F"/>
    <w:rsid w:val="000255BD"/>
    <w:rsid w:val="000257A7"/>
    <w:rsid w:val="0003093E"/>
    <w:rsid w:val="00030FDB"/>
    <w:rsid w:val="00031484"/>
    <w:rsid w:val="00031742"/>
    <w:rsid w:val="00032809"/>
    <w:rsid w:val="0003413D"/>
    <w:rsid w:val="00034323"/>
    <w:rsid w:val="0003500E"/>
    <w:rsid w:val="000357CC"/>
    <w:rsid w:val="000358CA"/>
    <w:rsid w:val="00036E48"/>
    <w:rsid w:val="00037A17"/>
    <w:rsid w:val="00037BFC"/>
    <w:rsid w:val="00040546"/>
    <w:rsid w:val="000407F5"/>
    <w:rsid w:val="00041253"/>
    <w:rsid w:val="00041375"/>
    <w:rsid w:val="00041A4A"/>
    <w:rsid w:val="00041C3D"/>
    <w:rsid w:val="00041DCE"/>
    <w:rsid w:val="000427C3"/>
    <w:rsid w:val="00042A2F"/>
    <w:rsid w:val="000430D0"/>
    <w:rsid w:val="0004310D"/>
    <w:rsid w:val="0004396C"/>
    <w:rsid w:val="00043ED2"/>
    <w:rsid w:val="00045558"/>
    <w:rsid w:val="00045C39"/>
    <w:rsid w:val="000461DC"/>
    <w:rsid w:val="000471D2"/>
    <w:rsid w:val="0005006B"/>
    <w:rsid w:val="000504F1"/>
    <w:rsid w:val="00050517"/>
    <w:rsid w:val="00050574"/>
    <w:rsid w:val="00050933"/>
    <w:rsid w:val="000514AF"/>
    <w:rsid w:val="0005224F"/>
    <w:rsid w:val="000534CB"/>
    <w:rsid w:val="00053F4E"/>
    <w:rsid w:val="000548ED"/>
    <w:rsid w:val="00054D00"/>
    <w:rsid w:val="000567BE"/>
    <w:rsid w:val="0005726D"/>
    <w:rsid w:val="0006154F"/>
    <w:rsid w:val="00062016"/>
    <w:rsid w:val="00062210"/>
    <w:rsid w:val="00062902"/>
    <w:rsid w:val="00062D17"/>
    <w:rsid w:val="00062EC4"/>
    <w:rsid w:val="00064882"/>
    <w:rsid w:val="00064F7C"/>
    <w:rsid w:val="00064FDD"/>
    <w:rsid w:val="000656BC"/>
    <w:rsid w:val="0006596E"/>
    <w:rsid w:val="00065AA0"/>
    <w:rsid w:val="00070B6F"/>
    <w:rsid w:val="00071764"/>
    <w:rsid w:val="00072E45"/>
    <w:rsid w:val="00072FDD"/>
    <w:rsid w:val="00073113"/>
    <w:rsid w:val="000736B7"/>
    <w:rsid w:val="00073DE6"/>
    <w:rsid w:val="000741D8"/>
    <w:rsid w:val="000745BF"/>
    <w:rsid w:val="00075269"/>
    <w:rsid w:val="00075D6C"/>
    <w:rsid w:val="00077351"/>
    <w:rsid w:val="00077CDB"/>
    <w:rsid w:val="00080099"/>
    <w:rsid w:val="0008051A"/>
    <w:rsid w:val="000811A2"/>
    <w:rsid w:val="00082B00"/>
    <w:rsid w:val="00082DC2"/>
    <w:rsid w:val="00083060"/>
    <w:rsid w:val="000838FC"/>
    <w:rsid w:val="000841A5"/>
    <w:rsid w:val="0008442C"/>
    <w:rsid w:val="0008482E"/>
    <w:rsid w:val="00084D45"/>
    <w:rsid w:val="00084DBE"/>
    <w:rsid w:val="00085733"/>
    <w:rsid w:val="00085CBF"/>
    <w:rsid w:val="00085F4D"/>
    <w:rsid w:val="00086AAB"/>
    <w:rsid w:val="00087685"/>
    <w:rsid w:val="00087913"/>
    <w:rsid w:val="00087E98"/>
    <w:rsid w:val="000910DC"/>
    <w:rsid w:val="000916A5"/>
    <w:rsid w:val="000921C1"/>
    <w:rsid w:val="0009284B"/>
    <w:rsid w:val="000928A0"/>
    <w:rsid w:val="0009365A"/>
    <w:rsid w:val="0009379F"/>
    <w:rsid w:val="00094AD0"/>
    <w:rsid w:val="00094C2C"/>
    <w:rsid w:val="00096684"/>
    <w:rsid w:val="00097ABC"/>
    <w:rsid w:val="000A01A7"/>
    <w:rsid w:val="000A052C"/>
    <w:rsid w:val="000A08FC"/>
    <w:rsid w:val="000A0941"/>
    <w:rsid w:val="000A19EA"/>
    <w:rsid w:val="000A1C83"/>
    <w:rsid w:val="000A1F2C"/>
    <w:rsid w:val="000A21B9"/>
    <w:rsid w:val="000A27D6"/>
    <w:rsid w:val="000A29C9"/>
    <w:rsid w:val="000A3696"/>
    <w:rsid w:val="000A390E"/>
    <w:rsid w:val="000A5045"/>
    <w:rsid w:val="000A5309"/>
    <w:rsid w:val="000A5447"/>
    <w:rsid w:val="000A793C"/>
    <w:rsid w:val="000A7A77"/>
    <w:rsid w:val="000A7B9B"/>
    <w:rsid w:val="000B0272"/>
    <w:rsid w:val="000B07BF"/>
    <w:rsid w:val="000B0A34"/>
    <w:rsid w:val="000B1B81"/>
    <w:rsid w:val="000B24B6"/>
    <w:rsid w:val="000B404E"/>
    <w:rsid w:val="000B4228"/>
    <w:rsid w:val="000B4A99"/>
    <w:rsid w:val="000B4BFC"/>
    <w:rsid w:val="000B4EE4"/>
    <w:rsid w:val="000B4FA6"/>
    <w:rsid w:val="000B51BB"/>
    <w:rsid w:val="000B5AFD"/>
    <w:rsid w:val="000B6EA9"/>
    <w:rsid w:val="000B77B5"/>
    <w:rsid w:val="000B7B95"/>
    <w:rsid w:val="000C0516"/>
    <w:rsid w:val="000C07D8"/>
    <w:rsid w:val="000C0C31"/>
    <w:rsid w:val="000C0E24"/>
    <w:rsid w:val="000C1182"/>
    <w:rsid w:val="000C1726"/>
    <w:rsid w:val="000C21FC"/>
    <w:rsid w:val="000C23AA"/>
    <w:rsid w:val="000C3303"/>
    <w:rsid w:val="000C360C"/>
    <w:rsid w:val="000C36A3"/>
    <w:rsid w:val="000C3B0F"/>
    <w:rsid w:val="000C4905"/>
    <w:rsid w:val="000C6721"/>
    <w:rsid w:val="000C773D"/>
    <w:rsid w:val="000C792A"/>
    <w:rsid w:val="000D017D"/>
    <w:rsid w:val="000D02D3"/>
    <w:rsid w:val="000D1182"/>
    <w:rsid w:val="000D251B"/>
    <w:rsid w:val="000D284C"/>
    <w:rsid w:val="000D31F1"/>
    <w:rsid w:val="000D39F3"/>
    <w:rsid w:val="000D3DC3"/>
    <w:rsid w:val="000D4264"/>
    <w:rsid w:val="000D47BF"/>
    <w:rsid w:val="000D4830"/>
    <w:rsid w:val="000D4F9E"/>
    <w:rsid w:val="000D5174"/>
    <w:rsid w:val="000D5E85"/>
    <w:rsid w:val="000D5EC1"/>
    <w:rsid w:val="000D60F4"/>
    <w:rsid w:val="000D68B9"/>
    <w:rsid w:val="000D6C49"/>
    <w:rsid w:val="000D6E49"/>
    <w:rsid w:val="000D76EE"/>
    <w:rsid w:val="000E043F"/>
    <w:rsid w:val="000E0C97"/>
    <w:rsid w:val="000E1591"/>
    <w:rsid w:val="000E1A92"/>
    <w:rsid w:val="000E1FE8"/>
    <w:rsid w:val="000E2A60"/>
    <w:rsid w:val="000E38C9"/>
    <w:rsid w:val="000E405E"/>
    <w:rsid w:val="000E463C"/>
    <w:rsid w:val="000E4DC7"/>
    <w:rsid w:val="000E4E56"/>
    <w:rsid w:val="000E5BE7"/>
    <w:rsid w:val="000E6342"/>
    <w:rsid w:val="000E639F"/>
    <w:rsid w:val="000E6A2B"/>
    <w:rsid w:val="000E6C51"/>
    <w:rsid w:val="000E6CD2"/>
    <w:rsid w:val="000F1BD2"/>
    <w:rsid w:val="000F29C9"/>
    <w:rsid w:val="000F3CEA"/>
    <w:rsid w:val="000F4A98"/>
    <w:rsid w:val="000F4C16"/>
    <w:rsid w:val="000F52DC"/>
    <w:rsid w:val="000F5A0E"/>
    <w:rsid w:val="000F630B"/>
    <w:rsid w:val="000F6931"/>
    <w:rsid w:val="000F6C57"/>
    <w:rsid w:val="000F71FE"/>
    <w:rsid w:val="000F7EC3"/>
    <w:rsid w:val="0010013A"/>
    <w:rsid w:val="00100E7E"/>
    <w:rsid w:val="00101590"/>
    <w:rsid w:val="00101A2C"/>
    <w:rsid w:val="001022D6"/>
    <w:rsid w:val="00102A5F"/>
    <w:rsid w:val="00102B54"/>
    <w:rsid w:val="00103D99"/>
    <w:rsid w:val="001046C9"/>
    <w:rsid w:val="001056B6"/>
    <w:rsid w:val="00105DEA"/>
    <w:rsid w:val="00105F7B"/>
    <w:rsid w:val="0010683E"/>
    <w:rsid w:val="00106AE2"/>
    <w:rsid w:val="00106D18"/>
    <w:rsid w:val="001071EB"/>
    <w:rsid w:val="00107772"/>
    <w:rsid w:val="0011145C"/>
    <w:rsid w:val="00111921"/>
    <w:rsid w:val="00111A43"/>
    <w:rsid w:val="00111FCE"/>
    <w:rsid w:val="00112F10"/>
    <w:rsid w:val="00113482"/>
    <w:rsid w:val="00113813"/>
    <w:rsid w:val="00113D58"/>
    <w:rsid w:val="001143FF"/>
    <w:rsid w:val="0011501A"/>
    <w:rsid w:val="0011632C"/>
    <w:rsid w:val="00117034"/>
    <w:rsid w:val="00120FED"/>
    <w:rsid w:val="00121FE5"/>
    <w:rsid w:val="00124449"/>
    <w:rsid w:val="00125044"/>
    <w:rsid w:val="00125487"/>
    <w:rsid w:val="00125552"/>
    <w:rsid w:val="001263B8"/>
    <w:rsid w:val="00126E2F"/>
    <w:rsid w:val="001270AE"/>
    <w:rsid w:val="00127D81"/>
    <w:rsid w:val="001311FD"/>
    <w:rsid w:val="00131223"/>
    <w:rsid w:val="00131F96"/>
    <w:rsid w:val="001320E6"/>
    <w:rsid w:val="0013210B"/>
    <w:rsid w:val="00132AF0"/>
    <w:rsid w:val="00132D6D"/>
    <w:rsid w:val="00134657"/>
    <w:rsid w:val="00134ACE"/>
    <w:rsid w:val="00135040"/>
    <w:rsid w:val="00135650"/>
    <w:rsid w:val="0013575B"/>
    <w:rsid w:val="00135885"/>
    <w:rsid w:val="00135EF1"/>
    <w:rsid w:val="001360BB"/>
    <w:rsid w:val="001368C6"/>
    <w:rsid w:val="001376B4"/>
    <w:rsid w:val="0014054E"/>
    <w:rsid w:val="00140E45"/>
    <w:rsid w:val="00141211"/>
    <w:rsid w:val="001412EC"/>
    <w:rsid w:val="00141A10"/>
    <w:rsid w:val="001424AD"/>
    <w:rsid w:val="00142F2B"/>
    <w:rsid w:val="00143086"/>
    <w:rsid w:val="00143A9D"/>
    <w:rsid w:val="00143B43"/>
    <w:rsid w:val="0014409A"/>
    <w:rsid w:val="00145CA3"/>
    <w:rsid w:val="001464BC"/>
    <w:rsid w:val="0014677F"/>
    <w:rsid w:val="0014691E"/>
    <w:rsid w:val="0014753E"/>
    <w:rsid w:val="0014759B"/>
    <w:rsid w:val="00147750"/>
    <w:rsid w:val="00151F28"/>
    <w:rsid w:val="0015269F"/>
    <w:rsid w:val="00152D2C"/>
    <w:rsid w:val="00152DE1"/>
    <w:rsid w:val="00152F3D"/>
    <w:rsid w:val="001544F4"/>
    <w:rsid w:val="0015471A"/>
    <w:rsid w:val="001547FF"/>
    <w:rsid w:val="00154BAF"/>
    <w:rsid w:val="0015514B"/>
    <w:rsid w:val="0015550A"/>
    <w:rsid w:val="00155D76"/>
    <w:rsid w:val="001562CB"/>
    <w:rsid w:val="001617EF"/>
    <w:rsid w:val="00161887"/>
    <w:rsid w:val="00161A78"/>
    <w:rsid w:val="00161EC9"/>
    <w:rsid w:val="00163643"/>
    <w:rsid w:val="00164169"/>
    <w:rsid w:val="00164A1A"/>
    <w:rsid w:val="00164EE3"/>
    <w:rsid w:val="00165B95"/>
    <w:rsid w:val="0016617C"/>
    <w:rsid w:val="00166F8D"/>
    <w:rsid w:val="00167245"/>
    <w:rsid w:val="001673C9"/>
    <w:rsid w:val="00167ABE"/>
    <w:rsid w:val="001703C7"/>
    <w:rsid w:val="0017045C"/>
    <w:rsid w:val="0017060B"/>
    <w:rsid w:val="00170AE0"/>
    <w:rsid w:val="00170C8A"/>
    <w:rsid w:val="00170E4D"/>
    <w:rsid w:val="00171057"/>
    <w:rsid w:val="0017142B"/>
    <w:rsid w:val="00174E68"/>
    <w:rsid w:val="001761E7"/>
    <w:rsid w:val="0017676D"/>
    <w:rsid w:val="00177887"/>
    <w:rsid w:val="00177C77"/>
    <w:rsid w:val="00177D7B"/>
    <w:rsid w:val="00181133"/>
    <w:rsid w:val="001818FF"/>
    <w:rsid w:val="00181E97"/>
    <w:rsid w:val="00182705"/>
    <w:rsid w:val="00182FF2"/>
    <w:rsid w:val="001842D0"/>
    <w:rsid w:val="00184B12"/>
    <w:rsid w:val="00184BDC"/>
    <w:rsid w:val="00184DC9"/>
    <w:rsid w:val="00184E96"/>
    <w:rsid w:val="00185A6F"/>
    <w:rsid w:val="00185CAF"/>
    <w:rsid w:val="00185DB8"/>
    <w:rsid w:val="0018661C"/>
    <w:rsid w:val="00186779"/>
    <w:rsid w:val="00186AE5"/>
    <w:rsid w:val="00186F6C"/>
    <w:rsid w:val="00187FE5"/>
    <w:rsid w:val="001915F8"/>
    <w:rsid w:val="001923FE"/>
    <w:rsid w:val="00193064"/>
    <w:rsid w:val="001930B4"/>
    <w:rsid w:val="00193438"/>
    <w:rsid w:val="001937A0"/>
    <w:rsid w:val="0019456B"/>
    <w:rsid w:val="0019469B"/>
    <w:rsid w:val="00195BE5"/>
    <w:rsid w:val="00195E33"/>
    <w:rsid w:val="00196B9B"/>
    <w:rsid w:val="001974C5"/>
    <w:rsid w:val="00197B0D"/>
    <w:rsid w:val="00197F68"/>
    <w:rsid w:val="001A0334"/>
    <w:rsid w:val="001A0685"/>
    <w:rsid w:val="001A217A"/>
    <w:rsid w:val="001A39C4"/>
    <w:rsid w:val="001A7063"/>
    <w:rsid w:val="001A7096"/>
    <w:rsid w:val="001A71BE"/>
    <w:rsid w:val="001A7D4F"/>
    <w:rsid w:val="001B0837"/>
    <w:rsid w:val="001B12B1"/>
    <w:rsid w:val="001B1DB0"/>
    <w:rsid w:val="001B2457"/>
    <w:rsid w:val="001B35A4"/>
    <w:rsid w:val="001B3719"/>
    <w:rsid w:val="001B4B53"/>
    <w:rsid w:val="001B4BD3"/>
    <w:rsid w:val="001B4D9A"/>
    <w:rsid w:val="001B524E"/>
    <w:rsid w:val="001B5AE1"/>
    <w:rsid w:val="001B66D7"/>
    <w:rsid w:val="001B68C5"/>
    <w:rsid w:val="001B6DA8"/>
    <w:rsid w:val="001B7029"/>
    <w:rsid w:val="001C0674"/>
    <w:rsid w:val="001C0E04"/>
    <w:rsid w:val="001C1AD1"/>
    <w:rsid w:val="001C1F59"/>
    <w:rsid w:val="001C2344"/>
    <w:rsid w:val="001C238F"/>
    <w:rsid w:val="001C36A6"/>
    <w:rsid w:val="001C3A2A"/>
    <w:rsid w:val="001C3F43"/>
    <w:rsid w:val="001C4438"/>
    <w:rsid w:val="001C4AA2"/>
    <w:rsid w:val="001C4FE6"/>
    <w:rsid w:val="001C559E"/>
    <w:rsid w:val="001C5997"/>
    <w:rsid w:val="001C5B31"/>
    <w:rsid w:val="001C6850"/>
    <w:rsid w:val="001C73DA"/>
    <w:rsid w:val="001C7FED"/>
    <w:rsid w:val="001D043C"/>
    <w:rsid w:val="001D065D"/>
    <w:rsid w:val="001D06B9"/>
    <w:rsid w:val="001D09AD"/>
    <w:rsid w:val="001D0D40"/>
    <w:rsid w:val="001D15BB"/>
    <w:rsid w:val="001D1D86"/>
    <w:rsid w:val="001D236B"/>
    <w:rsid w:val="001D2B64"/>
    <w:rsid w:val="001D3682"/>
    <w:rsid w:val="001D3692"/>
    <w:rsid w:val="001D38AF"/>
    <w:rsid w:val="001D3BAD"/>
    <w:rsid w:val="001D3C3D"/>
    <w:rsid w:val="001D401D"/>
    <w:rsid w:val="001D416B"/>
    <w:rsid w:val="001D4928"/>
    <w:rsid w:val="001D52CD"/>
    <w:rsid w:val="001D5F7A"/>
    <w:rsid w:val="001D6634"/>
    <w:rsid w:val="001D6829"/>
    <w:rsid w:val="001D683F"/>
    <w:rsid w:val="001D770E"/>
    <w:rsid w:val="001D7771"/>
    <w:rsid w:val="001D7A5D"/>
    <w:rsid w:val="001E0590"/>
    <w:rsid w:val="001E1E8E"/>
    <w:rsid w:val="001E2E0C"/>
    <w:rsid w:val="001E2EB4"/>
    <w:rsid w:val="001E42DE"/>
    <w:rsid w:val="001E4D51"/>
    <w:rsid w:val="001E5C93"/>
    <w:rsid w:val="001E5EEC"/>
    <w:rsid w:val="001E6D97"/>
    <w:rsid w:val="001F12D6"/>
    <w:rsid w:val="001F237A"/>
    <w:rsid w:val="001F24DA"/>
    <w:rsid w:val="001F282A"/>
    <w:rsid w:val="001F2F98"/>
    <w:rsid w:val="001F3E9B"/>
    <w:rsid w:val="001F4727"/>
    <w:rsid w:val="001F4D45"/>
    <w:rsid w:val="001F4DD1"/>
    <w:rsid w:val="001F58D3"/>
    <w:rsid w:val="001F5F30"/>
    <w:rsid w:val="001F7B5C"/>
    <w:rsid w:val="001F7E3F"/>
    <w:rsid w:val="00200066"/>
    <w:rsid w:val="00200198"/>
    <w:rsid w:val="00200D26"/>
    <w:rsid w:val="002011A1"/>
    <w:rsid w:val="002014C0"/>
    <w:rsid w:val="002027C0"/>
    <w:rsid w:val="00203C9C"/>
    <w:rsid w:val="00203FE9"/>
    <w:rsid w:val="002043CF"/>
    <w:rsid w:val="0020441A"/>
    <w:rsid w:val="002044F3"/>
    <w:rsid w:val="002047C4"/>
    <w:rsid w:val="00204EEC"/>
    <w:rsid w:val="00205267"/>
    <w:rsid w:val="0020566C"/>
    <w:rsid w:val="0020581C"/>
    <w:rsid w:val="00205FED"/>
    <w:rsid w:val="00206A45"/>
    <w:rsid w:val="00206C3E"/>
    <w:rsid w:val="00206D01"/>
    <w:rsid w:val="00206D14"/>
    <w:rsid w:val="00210484"/>
    <w:rsid w:val="002109C2"/>
    <w:rsid w:val="002113A0"/>
    <w:rsid w:val="0021194E"/>
    <w:rsid w:val="002126C8"/>
    <w:rsid w:val="00212BE3"/>
    <w:rsid w:val="00213789"/>
    <w:rsid w:val="00213E75"/>
    <w:rsid w:val="00214A55"/>
    <w:rsid w:val="00214F9E"/>
    <w:rsid w:val="00215EE0"/>
    <w:rsid w:val="0021772D"/>
    <w:rsid w:val="002200B9"/>
    <w:rsid w:val="002203E7"/>
    <w:rsid w:val="00220B5B"/>
    <w:rsid w:val="00221108"/>
    <w:rsid w:val="00221151"/>
    <w:rsid w:val="00221AEE"/>
    <w:rsid w:val="002256E4"/>
    <w:rsid w:val="002266E8"/>
    <w:rsid w:val="00227B6D"/>
    <w:rsid w:val="002309B4"/>
    <w:rsid w:val="0023204B"/>
    <w:rsid w:val="00232098"/>
    <w:rsid w:val="00232EC2"/>
    <w:rsid w:val="00233408"/>
    <w:rsid w:val="0023466A"/>
    <w:rsid w:val="0023526A"/>
    <w:rsid w:val="00235344"/>
    <w:rsid w:val="002356A5"/>
    <w:rsid w:val="002358D0"/>
    <w:rsid w:val="002359D3"/>
    <w:rsid w:val="0023685D"/>
    <w:rsid w:val="0023689E"/>
    <w:rsid w:val="002377ED"/>
    <w:rsid w:val="0023795A"/>
    <w:rsid w:val="002379C3"/>
    <w:rsid w:val="00240AF7"/>
    <w:rsid w:val="0024215D"/>
    <w:rsid w:val="00242380"/>
    <w:rsid w:val="00243373"/>
    <w:rsid w:val="00243BC1"/>
    <w:rsid w:val="00244AA8"/>
    <w:rsid w:val="00244C2B"/>
    <w:rsid w:val="00244C7B"/>
    <w:rsid w:val="002457A0"/>
    <w:rsid w:val="002462CF"/>
    <w:rsid w:val="00246953"/>
    <w:rsid w:val="0024778C"/>
    <w:rsid w:val="00251D0F"/>
    <w:rsid w:val="00252ABB"/>
    <w:rsid w:val="00252B8F"/>
    <w:rsid w:val="00253D6E"/>
    <w:rsid w:val="00253DB9"/>
    <w:rsid w:val="00254BEB"/>
    <w:rsid w:val="002553CD"/>
    <w:rsid w:val="002557EE"/>
    <w:rsid w:val="00255903"/>
    <w:rsid w:val="00255B03"/>
    <w:rsid w:val="0025689B"/>
    <w:rsid w:val="00257644"/>
    <w:rsid w:val="0026065A"/>
    <w:rsid w:val="00261031"/>
    <w:rsid w:val="00261751"/>
    <w:rsid w:val="0026196D"/>
    <w:rsid w:val="00261C07"/>
    <w:rsid w:val="002620A1"/>
    <w:rsid w:val="002631FD"/>
    <w:rsid w:val="00263414"/>
    <w:rsid w:val="00263F95"/>
    <w:rsid w:val="00264F15"/>
    <w:rsid w:val="002657F4"/>
    <w:rsid w:val="00265E61"/>
    <w:rsid w:val="00266C07"/>
    <w:rsid w:val="00267248"/>
    <w:rsid w:val="0026735F"/>
    <w:rsid w:val="00267880"/>
    <w:rsid w:val="00267F68"/>
    <w:rsid w:val="002706C0"/>
    <w:rsid w:val="00271430"/>
    <w:rsid w:val="00272191"/>
    <w:rsid w:val="002721B3"/>
    <w:rsid w:val="00272514"/>
    <w:rsid w:val="002725EF"/>
    <w:rsid w:val="00272916"/>
    <w:rsid w:val="00272B18"/>
    <w:rsid w:val="002739F1"/>
    <w:rsid w:val="00273AD2"/>
    <w:rsid w:val="00273C47"/>
    <w:rsid w:val="00273EA8"/>
    <w:rsid w:val="00274061"/>
    <w:rsid w:val="002740A3"/>
    <w:rsid w:val="002740E5"/>
    <w:rsid w:val="0027466B"/>
    <w:rsid w:val="00274E0E"/>
    <w:rsid w:val="00275046"/>
    <w:rsid w:val="002754F9"/>
    <w:rsid w:val="00275649"/>
    <w:rsid w:val="00275B9B"/>
    <w:rsid w:val="0027631F"/>
    <w:rsid w:val="00276509"/>
    <w:rsid w:val="00276A8A"/>
    <w:rsid w:val="00276D14"/>
    <w:rsid w:val="002778B1"/>
    <w:rsid w:val="00277CBB"/>
    <w:rsid w:val="00277DBC"/>
    <w:rsid w:val="00277F83"/>
    <w:rsid w:val="0028037F"/>
    <w:rsid w:val="002805A4"/>
    <w:rsid w:val="00281060"/>
    <w:rsid w:val="00281074"/>
    <w:rsid w:val="00283220"/>
    <w:rsid w:val="00283A49"/>
    <w:rsid w:val="002844C5"/>
    <w:rsid w:val="0028488A"/>
    <w:rsid w:val="00284A02"/>
    <w:rsid w:val="00284C1A"/>
    <w:rsid w:val="00284DB5"/>
    <w:rsid w:val="00285466"/>
    <w:rsid w:val="00285AF3"/>
    <w:rsid w:val="00290D62"/>
    <w:rsid w:val="002916EF"/>
    <w:rsid w:val="0029170C"/>
    <w:rsid w:val="00291E7A"/>
    <w:rsid w:val="00291F00"/>
    <w:rsid w:val="00291F70"/>
    <w:rsid w:val="00292ACC"/>
    <w:rsid w:val="00293337"/>
    <w:rsid w:val="00293474"/>
    <w:rsid w:val="002937A9"/>
    <w:rsid w:val="00293EF8"/>
    <w:rsid w:val="00293F17"/>
    <w:rsid w:val="00293F95"/>
    <w:rsid w:val="002948E9"/>
    <w:rsid w:val="00294F28"/>
    <w:rsid w:val="002953F2"/>
    <w:rsid w:val="0029719F"/>
    <w:rsid w:val="002973EF"/>
    <w:rsid w:val="00297C8C"/>
    <w:rsid w:val="002A0167"/>
    <w:rsid w:val="002A0DF1"/>
    <w:rsid w:val="002A1AA2"/>
    <w:rsid w:val="002A1FAA"/>
    <w:rsid w:val="002A2443"/>
    <w:rsid w:val="002A3AAD"/>
    <w:rsid w:val="002A46A7"/>
    <w:rsid w:val="002A46B1"/>
    <w:rsid w:val="002A5D60"/>
    <w:rsid w:val="002A6D28"/>
    <w:rsid w:val="002A78C3"/>
    <w:rsid w:val="002B014E"/>
    <w:rsid w:val="002B08A0"/>
    <w:rsid w:val="002B0B9E"/>
    <w:rsid w:val="002B0E70"/>
    <w:rsid w:val="002B1476"/>
    <w:rsid w:val="002B1FA0"/>
    <w:rsid w:val="002B26CC"/>
    <w:rsid w:val="002B2D15"/>
    <w:rsid w:val="002B333F"/>
    <w:rsid w:val="002B3D28"/>
    <w:rsid w:val="002B414D"/>
    <w:rsid w:val="002B5452"/>
    <w:rsid w:val="002B5847"/>
    <w:rsid w:val="002B6111"/>
    <w:rsid w:val="002B643F"/>
    <w:rsid w:val="002B759B"/>
    <w:rsid w:val="002B7C5B"/>
    <w:rsid w:val="002C0C46"/>
    <w:rsid w:val="002C1BAF"/>
    <w:rsid w:val="002C1CD1"/>
    <w:rsid w:val="002C1E38"/>
    <w:rsid w:val="002C2709"/>
    <w:rsid w:val="002C4102"/>
    <w:rsid w:val="002C427B"/>
    <w:rsid w:val="002C4294"/>
    <w:rsid w:val="002C48C6"/>
    <w:rsid w:val="002C4D3D"/>
    <w:rsid w:val="002C62A6"/>
    <w:rsid w:val="002C6C92"/>
    <w:rsid w:val="002C7A35"/>
    <w:rsid w:val="002C7B01"/>
    <w:rsid w:val="002C7EE7"/>
    <w:rsid w:val="002D014D"/>
    <w:rsid w:val="002D05EE"/>
    <w:rsid w:val="002D10C2"/>
    <w:rsid w:val="002D1A5F"/>
    <w:rsid w:val="002D1AB2"/>
    <w:rsid w:val="002D1B0F"/>
    <w:rsid w:val="002D2021"/>
    <w:rsid w:val="002D24D5"/>
    <w:rsid w:val="002D251E"/>
    <w:rsid w:val="002D2EF0"/>
    <w:rsid w:val="002D35F6"/>
    <w:rsid w:val="002D41E2"/>
    <w:rsid w:val="002D4382"/>
    <w:rsid w:val="002D49E8"/>
    <w:rsid w:val="002D4B5D"/>
    <w:rsid w:val="002D4E91"/>
    <w:rsid w:val="002D4EA2"/>
    <w:rsid w:val="002D744C"/>
    <w:rsid w:val="002E0D5F"/>
    <w:rsid w:val="002E13CB"/>
    <w:rsid w:val="002E16E7"/>
    <w:rsid w:val="002E17A4"/>
    <w:rsid w:val="002E2846"/>
    <w:rsid w:val="002E2F64"/>
    <w:rsid w:val="002E4436"/>
    <w:rsid w:val="002E45C9"/>
    <w:rsid w:val="002E47A8"/>
    <w:rsid w:val="002E47E2"/>
    <w:rsid w:val="002E47F1"/>
    <w:rsid w:val="002E4858"/>
    <w:rsid w:val="002E5AC9"/>
    <w:rsid w:val="002E63CB"/>
    <w:rsid w:val="002E6A61"/>
    <w:rsid w:val="002E6FC6"/>
    <w:rsid w:val="002E7FE0"/>
    <w:rsid w:val="002F009D"/>
    <w:rsid w:val="002F03C2"/>
    <w:rsid w:val="002F0947"/>
    <w:rsid w:val="002F1480"/>
    <w:rsid w:val="002F1930"/>
    <w:rsid w:val="002F1E95"/>
    <w:rsid w:val="002F203E"/>
    <w:rsid w:val="002F230F"/>
    <w:rsid w:val="002F2BAB"/>
    <w:rsid w:val="002F3392"/>
    <w:rsid w:val="002F3576"/>
    <w:rsid w:val="002F3A0E"/>
    <w:rsid w:val="002F543B"/>
    <w:rsid w:val="002F575A"/>
    <w:rsid w:val="002F5C13"/>
    <w:rsid w:val="002F6526"/>
    <w:rsid w:val="003005F4"/>
    <w:rsid w:val="00300614"/>
    <w:rsid w:val="0030063F"/>
    <w:rsid w:val="003017C2"/>
    <w:rsid w:val="00301A17"/>
    <w:rsid w:val="00301CEA"/>
    <w:rsid w:val="003023A4"/>
    <w:rsid w:val="00304098"/>
    <w:rsid w:val="00305A60"/>
    <w:rsid w:val="003062D4"/>
    <w:rsid w:val="00306834"/>
    <w:rsid w:val="003069F7"/>
    <w:rsid w:val="00310016"/>
    <w:rsid w:val="0031188D"/>
    <w:rsid w:val="00312424"/>
    <w:rsid w:val="00312DA8"/>
    <w:rsid w:val="003130CC"/>
    <w:rsid w:val="0031387C"/>
    <w:rsid w:val="00313975"/>
    <w:rsid w:val="0031527A"/>
    <w:rsid w:val="00315FAA"/>
    <w:rsid w:val="003170D9"/>
    <w:rsid w:val="003203D1"/>
    <w:rsid w:val="003205D2"/>
    <w:rsid w:val="003206B7"/>
    <w:rsid w:val="00321582"/>
    <w:rsid w:val="0032264D"/>
    <w:rsid w:val="00322C74"/>
    <w:rsid w:val="00324738"/>
    <w:rsid w:val="0032633E"/>
    <w:rsid w:val="00326D66"/>
    <w:rsid w:val="0032782C"/>
    <w:rsid w:val="00327C42"/>
    <w:rsid w:val="00331C74"/>
    <w:rsid w:val="00332132"/>
    <w:rsid w:val="00332E4C"/>
    <w:rsid w:val="00333076"/>
    <w:rsid w:val="0033365A"/>
    <w:rsid w:val="00335763"/>
    <w:rsid w:val="003358E8"/>
    <w:rsid w:val="00335C71"/>
    <w:rsid w:val="00335E16"/>
    <w:rsid w:val="00336081"/>
    <w:rsid w:val="00336FAB"/>
    <w:rsid w:val="003378EA"/>
    <w:rsid w:val="00337E45"/>
    <w:rsid w:val="003400C1"/>
    <w:rsid w:val="00340BE7"/>
    <w:rsid w:val="00340E47"/>
    <w:rsid w:val="003429D5"/>
    <w:rsid w:val="0034344B"/>
    <w:rsid w:val="0034360F"/>
    <w:rsid w:val="00343683"/>
    <w:rsid w:val="00343A26"/>
    <w:rsid w:val="003448E7"/>
    <w:rsid w:val="00344B6D"/>
    <w:rsid w:val="00344B79"/>
    <w:rsid w:val="00345049"/>
    <w:rsid w:val="00345600"/>
    <w:rsid w:val="00345C45"/>
    <w:rsid w:val="003462FD"/>
    <w:rsid w:val="00346403"/>
    <w:rsid w:val="00350789"/>
    <w:rsid w:val="00350879"/>
    <w:rsid w:val="00352789"/>
    <w:rsid w:val="00352A13"/>
    <w:rsid w:val="0035355C"/>
    <w:rsid w:val="00353780"/>
    <w:rsid w:val="00353B98"/>
    <w:rsid w:val="00353C36"/>
    <w:rsid w:val="003548BE"/>
    <w:rsid w:val="003553FA"/>
    <w:rsid w:val="00355620"/>
    <w:rsid w:val="003600CF"/>
    <w:rsid w:val="0036019E"/>
    <w:rsid w:val="003601B6"/>
    <w:rsid w:val="00360443"/>
    <w:rsid w:val="003605F5"/>
    <w:rsid w:val="00360B8E"/>
    <w:rsid w:val="00361116"/>
    <w:rsid w:val="00361321"/>
    <w:rsid w:val="0036132C"/>
    <w:rsid w:val="00361B5A"/>
    <w:rsid w:val="00361D52"/>
    <w:rsid w:val="00362205"/>
    <w:rsid w:val="0036302B"/>
    <w:rsid w:val="00364BEF"/>
    <w:rsid w:val="00364E7B"/>
    <w:rsid w:val="00365281"/>
    <w:rsid w:val="003657A8"/>
    <w:rsid w:val="00365C20"/>
    <w:rsid w:val="0036696E"/>
    <w:rsid w:val="00367647"/>
    <w:rsid w:val="00370463"/>
    <w:rsid w:val="00370D41"/>
    <w:rsid w:val="00372151"/>
    <w:rsid w:val="003735B6"/>
    <w:rsid w:val="00374905"/>
    <w:rsid w:val="00374AD7"/>
    <w:rsid w:val="00375185"/>
    <w:rsid w:val="00375229"/>
    <w:rsid w:val="0037638F"/>
    <w:rsid w:val="00377324"/>
    <w:rsid w:val="003773A8"/>
    <w:rsid w:val="003777F6"/>
    <w:rsid w:val="00377DA0"/>
    <w:rsid w:val="003802BD"/>
    <w:rsid w:val="003805F3"/>
    <w:rsid w:val="00381C8B"/>
    <w:rsid w:val="00381F5B"/>
    <w:rsid w:val="003825F8"/>
    <w:rsid w:val="0038289B"/>
    <w:rsid w:val="00383025"/>
    <w:rsid w:val="00383DF8"/>
    <w:rsid w:val="00384FCD"/>
    <w:rsid w:val="00385089"/>
    <w:rsid w:val="0038522D"/>
    <w:rsid w:val="003855E0"/>
    <w:rsid w:val="00385A65"/>
    <w:rsid w:val="00386931"/>
    <w:rsid w:val="00387304"/>
    <w:rsid w:val="00387662"/>
    <w:rsid w:val="00387A68"/>
    <w:rsid w:val="00387A75"/>
    <w:rsid w:val="00387ADD"/>
    <w:rsid w:val="00390A68"/>
    <w:rsid w:val="00393C2C"/>
    <w:rsid w:val="00394278"/>
    <w:rsid w:val="0039449A"/>
    <w:rsid w:val="00395650"/>
    <w:rsid w:val="003957A9"/>
    <w:rsid w:val="00397997"/>
    <w:rsid w:val="003A0946"/>
    <w:rsid w:val="003A1AE2"/>
    <w:rsid w:val="003A1FB7"/>
    <w:rsid w:val="003A22F1"/>
    <w:rsid w:val="003A31A9"/>
    <w:rsid w:val="003A32C8"/>
    <w:rsid w:val="003A3362"/>
    <w:rsid w:val="003A3E67"/>
    <w:rsid w:val="003A4553"/>
    <w:rsid w:val="003A457F"/>
    <w:rsid w:val="003A4830"/>
    <w:rsid w:val="003A4ED7"/>
    <w:rsid w:val="003A50DB"/>
    <w:rsid w:val="003A553C"/>
    <w:rsid w:val="003A5B65"/>
    <w:rsid w:val="003A5D56"/>
    <w:rsid w:val="003A6742"/>
    <w:rsid w:val="003A6CD1"/>
    <w:rsid w:val="003A6D4E"/>
    <w:rsid w:val="003A7377"/>
    <w:rsid w:val="003A737D"/>
    <w:rsid w:val="003B0ADB"/>
    <w:rsid w:val="003B0AFC"/>
    <w:rsid w:val="003B13D0"/>
    <w:rsid w:val="003B3A78"/>
    <w:rsid w:val="003B7330"/>
    <w:rsid w:val="003B7F9E"/>
    <w:rsid w:val="003C05A6"/>
    <w:rsid w:val="003C1662"/>
    <w:rsid w:val="003C19F7"/>
    <w:rsid w:val="003C21F1"/>
    <w:rsid w:val="003C2439"/>
    <w:rsid w:val="003C28A8"/>
    <w:rsid w:val="003C32B2"/>
    <w:rsid w:val="003C32DF"/>
    <w:rsid w:val="003C3AC6"/>
    <w:rsid w:val="003C4450"/>
    <w:rsid w:val="003C4BE5"/>
    <w:rsid w:val="003C5101"/>
    <w:rsid w:val="003C5134"/>
    <w:rsid w:val="003C722B"/>
    <w:rsid w:val="003C7333"/>
    <w:rsid w:val="003D0B12"/>
    <w:rsid w:val="003D132D"/>
    <w:rsid w:val="003D14E6"/>
    <w:rsid w:val="003D1B01"/>
    <w:rsid w:val="003D3E65"/>
    <w:rsid w:val="003D4852"/>
    <w:rsid w:val="003D52B1"/>
    <w:rsid w:val="003D5331"/>
    <w:rsid w:val="003D5C00"/>
    <w:rsid w:val="003D6528"/>
    <w:rsid w:val="003D73A5"/>
    <w:rsid w:val="003D74E0"/>
    <w:rsid w:val="003E0A5C"/>
    <w:rsid w:val="003E0B32"/>
    <w:rsid w:val="003E0E2E"/>
    <w:rsid w:val="003E17F7"/>
    <w:rsid w:val="003E2BF2"/>
    <w:rsid w:val="003E323D"/>
    <w:rsid w:val="003E454E"/>
    <w:rsid w:val="003E4D99"/>
    <w:rsid w:val="003E4DA2"/>
    <w:rsid w:val="003E7D1F"/>
    <w:rsid w:val="003F01E3"/>
    <w:rsid w:val="003F0A06"/>
    <w:rsid w:val="003F0DC7"/>
    <w:rsid w:val="003F185F"/>
    <w:rsid w:val="003F1993"/>
    <w:rsid w:val="003F19DD"/>
    <w:rsid w:val="003F3C83"/>
    <w:rsid w:val="003F40B5"/>
    <w:rsid w:val="003F4AB3"/>
    <w:rsid w:val="003F500E"/>
    <w:rsid w:val="003F64C0"/>
    <w:rsid w:val="003F7A32"/>
    <w:rsid w:val="003F7B4D"/>
    <w:rsid w:val="0040052C"/>
    <w:rsid w:val="00401BAE"/>
    <w:rsid w:val="00401C6D"/>
    <w:rsid w:val="0040240E"/>
    <w:rsid w:val="0040242F"/>
    <w:rsid w:val="004030DD"/>
    <w:rsid w:val="0040330A"/>
    <w:rsid w:val="00403B5E"/>
    <w:rsid w:val="00404840"/>
    <w:rsid w:val="00406155"/>
    <w:rsid w:val="004067A2"/>
    <w:rsid w:val="004072E0"/>
    <w:rsid w:val="004077B2"/>
    <w:rsid w:val="00407E23"/>
    <w:rsid w:val="004109DF"/>
    <w:rsid w:val="00410B36"/>
    <w:rsid w:val="00410B92"/>
    <w:rsid w:val="004113D2"/>
    <w:rsid w:val="00412C35"/>
    <w:rsid w:val="00413991"/>
    <w:rsid w:val="00413AAC"/>
    <w:rsid w:val="00414169"/>
    <w:rsid w:val="0041544A"/>
    <w:rsid w:val="004158BA"/>
    <w:rsid w:val="00415C2C"/>
    <w:rsid w:val="00417A92"/>
    <w:rsid w:val="00420458"/>
    <w:rsid w:val="00421341"/>
    <w:rsid w:val="00421354"/>
    <w:rsid w:val="00422594"/>
    <w:rsid w:val="00423B59"/>
    <w:rsid w:val="00424010"/>
    <w:rsid w:val="00424858"/>
    <w:rsid w:val="00424D10"/>
    <w:rsid w:val="00425FE0"/>
    <w:rsid w:val="004269F5"/>
    <w:rsid w:val="0042750A"/>
    <w:rsid w:val="00427AAC"/>
    <w:rsid w:val="00427F6F"/>
    <w:rsid w:val="00430114"/>
    <w:rsid w:val="00431200"/>
    <w:rsid w:val="00433FBA"/>
    <w:rsid w:val="004341C1"/>
    <w:rsid w:val="00434A73"/>
    <w:rsid w:val="00434D8E"/>
    <w:rsid w:val="00436F69"/>
    <w:rsid w:val="0043778E"/>
    <w:rsid w:val="00437E54"/>
    <w:rsid w:val="00440076"/>
    <w:rsid w:val="004408C6"/>
    <w:rsid w:val="004409EE"/>
    <w:rsid w:val="004412F8"/>
    <w:rsid w:val="00441F38"/>
    <w:rsid w:val="00442136"/>
    <w:rsid w:val="004422ED"/>
    <w:rsid w:val="00442815"/>
    <w:rsid w:val="004429C6"/>
    <w:rsid w:val="004434A3"/>
    <w:rsid w:val="00443A24"/>
    <w:rsid w:val="00443B33"/>
    <w:rsid w:val="00444189"/>
    <w:rsid w:val="00444411"/>
    <w:rsid w:val="004444D9"/>
    <w:rsid w:val="0044669E"/>
    <w:rsid w:val="0044678A"/>
    <w:rsid w:val="00446810"/>
    <w:rsid w:val="00446BA5"/>
    <w:rsid w:val="00447E60"/>
    <w:rsid w:val="0045020C"/>
    <w:rsid w:val="00450A4D"/>
    <w:rsid w:val="00450C8B"/>
    <w:rsid w:val="00450F40"/>
    <w:rsid w:val="00451C33"/>
    <w:rsid w:val="00451FB3"/>
    <w:rsid w:val="00452014"/>
    <w:rsid w:val="004524B8"/>
    <w:rsid w:val="00452A81"/>
    <w:rsid w:val="00453220"/>
    <w:rsid w:val="00453850"/>
    <w:rsid w:val="004538AB"/>
    <w:rsid w:val="00454F6A"/>
    <w:rsid w:val="00455EB4"/>
    <w:rsid w:val="00456228"/>
    <w:rsid w:val="00456F2A"/>
    <w:rsid w:val="004572A2"/>
    <w:rsid w:val="00457322"/>
    <w:rsid w:val="00457849"/>
    <w:rsid w:val="00457C41"/>
    <w:rsid w:val="004606E9"/>
    <w:rsid w:val="00462525"/>
    <w:rsid w:val="00462B64"/>
    <w:rsid w:val="00463212"/>
    <w:rsid w:val="004633C3"/>
    <w:rsid w:val="00463615"/>
    <w:rsid w:val="0046485E"/>
    <w:rsid w:val="00464BFF"/>
    <w:rsid w:val="00465319"/>
    <w:rsid w:val="00465AD0"/>
    <w:rsid w:val="00465EC2"/>
    <w:rsid w:val="0046733A"/>
    <w:rsid w:val="00470081"/>
    <w:rsid w:val="0047077E"/>
    <w:rsid w:val="00470DA3"/>
    <w:rsid w:val="00472C45"/>
    <w:rsid w:val="004730F7"/>
    <w:rsid w:val="00473C85"/>
    <w:rsid w:val="00474228"/>
    <w:rsid w:val="00474F5F"/>
    <w:rsid w:val="004758BC"/>
    <w:rsid w:val="004759C5"/>
    <w:rsid w:val="00475C58"/>
    <w:rsid w:val="00476A85"/>
    <w:rsid w:val="00476BE2"/>
    <w:rsid w:val="004773FF"/>
    <w:rsid w:val="0047772F"/>
    <w:rsid w:val="00480B69"/>
    <w:rsid w:val="00480E50"/>
    <w:rsid w:val="004818B8"/>
    <w:rsid w:val="00483649"/>
    <w:rsid w:val="00483D2C"/>
    <w:rsid w:val="0048474E"/>
    <w:rsid w:val="00484B01"/>
    <w:rsid w:val="00484CD3"/>
    <w:rsid w:val="004858B4"/>
    <w:rsid w:val="00485956"/>
    <w:rsid w:val="004862ED"/>
    <w:rsid w:val="00486C2C"/>
    <w:rsid w:val="004900F3"/>
    <w:rsid w:val="00490178"/>
    <w:rsid w:val="004901D8"/>
    <w:rsid w:val="0049037F"/>
    <w:rsid w:val="00490DFC"/>
    <w:rsid w:val="004918C1"/>
    <w:rsid w:val="00491966"/>
    <w:rsid w:val="00491C11"/>
    <w:rsid w:val="004921F6"/>
    <w:rsid w:val="00492314"/>
    <w:rsid w:val="0049295A"/>
    <w:rsid w:val="0049300C"/>
    <w:rsid w:val="004932FD"/>
    <w:rsid w:val="0049333B"/>
    <w:rsid w:val="004934C6"/>
    <w:rsid w:val="00493F36"/>
    <w:rsid w:val="0049497E"/>
    <w:rsid w:val="004956FE"/>
    <w:rsid w:val="00496FA3"/>
    <w:rsid w:val="0049746B"/>
    <w:rsid w:val="00497FFB"/>
    <w:rsid w:val="004A08E1"/>
    <w:rsid w:val="004A1FE0"/>
    <w:rsid w:val="004A2C91"/>
    <w:rsid w:val="004A2DEC"/>
    <w:rsid w:val="004A2F11"/>
    <w:rsid w:val="004A3553"/>
    <w:rsid w:val="004A3DC5"/>
    <w:rsid w:val="004A43E7"/>
    <w:rsid w:val="004A464D"/>
    <w:rsid w:val="004A4EA2"/>
    <w:rsid w:val="004A5138"/>
    <w:rsid w:val="004A5770"/>
    <w:rsid w:val="004A590B"/>
    <w:rsid w:val="004A5CDB"/>
    <w:rsid w:val="004A61B2"/>
    <w:rsid w:val="004A691F"/>
    <w:rsid w:val="004A6FCF"/>
    <w:rsid w:val="004A714D"/>
    <w:rsid w:val="004B0433"/>
    <w:rsid w:val="004B0529"/>
    <w:rsid w:val="004B0863"/>
    <w:rsid w:val="004B092D"/>
    <w:rsid w:val="004B1008"/>
    <w:rsid w:val="004B1F74"/>
    <w:rsid w:val="004B20A4"/>
    <w:rsid w:val="004B31A1"/>
    <w:rsid w:val="004B3650"/>
    <w:rsid w:val="004B3B17"/>
    <w:rsid w:val="004B4766"/>
    <w:rsid w:val="004B5285"/>
    <w:rsid w:val="004B5425"/>
    <w:rsid w:val="004B5A66"/>
    <w:rsid w:val="004B5BA4"/>
    <w:rsid w:val="004B6631"/>
    <w:rsid w:val="004B7105"/>
    <w:rsid w:val="004B741E"/>
    <w:rsid w:val="004C0384"/>
    <w:rsid w:val="004C09F9"/>
    <w:rsid w:val="004C1409"/>
    <w:rsid w:val="004C224E"/>
    <w:rsid w:val="004C2F1F"/>
    <w:rsid w:val="004C3E58"/>
    <w:rsid w:val="004C5302"/>
    <w:rsid w:val="004C6305"/>
    <w:rsid w:val="004C635A"/>
    <w:rsid w:val="004D0165"/>
    <w:rsid w:val="004D06B1"/>
    <w:rsid w:val="004D193D"/>
    <w:rsid w:val="004D3084"/>
    <w:rsid w:val="004D3322"/>
    <w:rsid w:val="004D3555"/>
    <w:rsid w:val="004D372E"/>
    <w:rsid w:val="004D3CEA"/>
    <w:rsid w:val="004D3E40"/>
    <w:rsid w:val="004D582C"/>
    <w:rsid w:val="004D646F"/>
    <w:rsid w:val="004D73A9"/>
    <w:rsid w:val="004E029E"/>
    <w:rsid w:val="004E0E96"/>
    <w:rsid w:val="004E1EE5"/>
    <w:rsid w:val="004E2B92"/>
    <w:rsid w:val="004E2FC2"/>
    <w:rsid w:val="004E3D10"/>
    <w:rsid w:val="004E3EC2"/>
    <w:rsid w:val="004E4002"/>
    <w:rsid w:val="004E4B50"/>
    <w:rsid w:val="004E4B9C"/>
    <w:rsid w:val="004E589D"/>
    <w:rsid w:val="004E6B4B"/>
    <w:rsid w:val="004E7066"/>
    <w:rsid w:val="004E7FFA"/>
    <w:rsid w:val="004F01EB"/>
    <w:rsid w:val="004F04E7"/>
    <w:rsid w:val="004F081A"/>
    <w:rsid w:val="004F0CB0"/>
    <w:rsid w:val="004F10D0"/>
    <w:rsid w:val="004F1A63"/>
    <w:rsid w:val="004F27DA"/>
    <w:rsid w:val="004F50C8"/>
    <w:rsid w:val="004F57EF"/>
    <w:rsid w:val="004F5E33"/>
    <w:rsid w:val="004F7126"/>
    <w:rsid w:val="004F72CB"/>
    <w:rsid w:val="004F7524"/>
    <w:rsid w:val="005010DE"/>
    <w:rsid w:val="00501482"/>
    <w:rsid w:val="00501815"/>
    <w:rsid w:val="00501FDF"/>
    <w:rsid w:val="00502C71"/>
    <w:rsid w:val="00503163"/>
    <w:rsid w:val="005036C2"/>
    <w:rsid w:val="00503B84"/>
    <w:rsid w:val="00504469"/>
    <w:rsid w:val="00504B7A"/>
    <w:rsid w:val="005059BC"/>
    <w:rsid w:val="005069DA"/>
    <w:rsid w:val="00506C12"/>
    <w:rsid w:val="005074AF"/>
    <w:rsid w:val="00507C07"/>
    <w:rsid w:val="00510AEA"/>
    <w:rsid w:val="00511B91"/>
    <w:rsid w:val="00511CE2"/>
    <w:rsid w:val="00511F32"/>
    <w:rsid w:val="00512FC2"/>
    <w:rsid w:val="0051302D"/>
    <w:rsid w:val="005134FE"/>
    <w:rsid w:val="00513C3F"/>
    <w:rsid w:val="00513C6B"/>
    <w:rsid w:val="005144C3"/>
    <w:rsid w:val="00514562"/>
    <w:rsid w:val="00514FBA"/>
    <w:rsid w:val="00515799"/>
    <w:rsid w:val="005161B4"/>
    <w:rsid w:val="005163BF"/>
    <w:rsid w:val="00516992"/>
    <w:rsid w:val="00516A97"/>
    <w:rsid w:val="00516B7E"/>
    <w:rsid w:val="00516EEB"/>
    <w:rsid w:val="005202DD"/>
    <w:rsid w:val="0052058D"/>
    <w:rsid w:val="005206AC"/>
    <w:rsid w:val="0052075E"/>
    <w:rsid w:val="00520DA0"/>
    <w:rsid w:val="00521A5D"/>
    <w:rsid w:val="00521BFC"/>
    <w:rsid w:val="00521DC6"/>
    <w:rsid w:val="0052201A"/>
    <w:rsid w:val="00522237"/>
    <w:rsid w:val="0052223C"/>
    <w:rsid w:val="005227EC"/>
    <w:rsid w:val="00523D53"/>
    <w:rsid w:val="005244DF"/>
    <w:rsid w:val="00524831"/>
    <w:rsid w:val="00525522"/>
    <w:rsid w:val="00525990"/>
    <w:rsid w:val="00525BE0"/>
    <w:rsid w:val="00525F63"/>
    <w:rsid w:val="00526C45"/>
    <w:rsid w:val="00526C5F"/>
    <w:rsid w:val="00527189"/>
    <w:rsid w:val="00527308"/>
    <w:rsid w:val="00527A14"/>
    <w:rsid w:val="005339CB"/>
    <w:rsid w:val="00533ADE"/>
    <w:rsid w:val="00533D1C"/>
    <w:rsid w:val="00533F82"/>
    <w:rsid w:val="005359E9"/>
    <w:rsid w:val="005366B7"/>
    <w:rsid w:val="005368AA"/>
    <w:rsid w:val="00537214"/>
    <w:rsid w:val="005376F8"/>
    <w:rsid w:val="00537D9F"/>
    <w:rsid w:val="00537EB4"/>
    <w:rsid w:val="0054003B"/>
    <w:rsid w:val="0054077E"/>
    <w:rsid w:val="00540918"/>
    <w:rsid w:val="00540C49"/>
    <w:rsid w:val="0054115B"/>
    <w:rsid w:val="0054279D"/>
    <w:rsid w:val="0054393D"/>
    <w:rsid w:val="00544414"/>
    <w:rsid w:val="0054458A"/>
    <w:rsid w:val="0054568A"/>
    <w:rsid w:val="0054601F"/>
    <w:rsid w:val="00546420"/>
    <w:rsid w:val="0055084E"/>
    <w:rsid w:val="00550F0C"/>
    <w:rsid w:val="00551CC9"/>
    <w:rsid w:val="00552405"/>
    <w:rsid w:val="00552D5F"/>
    <w:rsid w:val="00555934"/>
    <w:rsid w:val="00555B04"/>
    <w:rsid w:val="005564F9"/>
    <w:rsid w:val="00557704"/>
    <w:rsid w:val="00557AA2"/>
    <w:rsid w:val="00557BB8"/>
    <w:rsid w:val="00560F92"/>
    <w:rsid w:val="00562090"/>
    <w:rsid w:val="00562312"/>
    <w:rsid w:val="0056609C"/>
    <w:rsid w:val="00567109"/>
    <w:rsid w:val="0056727B"/>
    <w:rsid w:val="005712D7"/>
    <w:rsid w:val="00571A76"/>
    <w:rsid w:val="00572E17"/>
    <w:rsid w:val="00573E20"/>
    <w:rsid w:val="00575177"/>
    <w:rsid w:val="00576FE5"/>
    <w:rsid w:val="00577E33"/>
    <w:rsid w:val="00577EC9"/>
    <w:rsid w:val="00580755"/>
    <w:rsid w:val="00580ABA"/>
    <w:rsid w:val="005814F7"/>
    <w:rsid w:val="00581597"/>
    <w:rsid w:val="00581665"/>
    <w:rsid w:val="00582954"/>
    <w:rsid w:val="00582B80"/>
    <w:rsid w:val="005832DA"/>
    <w:rsid w:val="00583DD2"/>
    <w:rsid w:val="00584F73"/>
    <w:rsid w:val="005850CF"/>
    <w:rsid w:val="00585952"/>
    <w:rsid w:val="00585954"/>
    <w:rsid w:val="00590505"/>
    <w:rsid w:val="00591D39"/>
    <w:rsid w:val="005922DD"/>
    <w:rsid w:val="00592676"/>
    <w:rsid w:val="00592DA5"/>
    <w:rsid w:val="00593549"/>
    <w:rsid w:val="0059358A"/>
    <w:rsid w:val="005948AD"/>
    <w:rsid w:val="00594B79"/>
    <w:rsid w:val="0059524E"/>
    <w:rsid w:val="0059560E"/>
    <w:rsid w:val="005962A4"/>
    <w:rsid w:val="00596E99"/>
    <w:rsid w:val="005977BF"/>
    <w:rsid w:val="00597A9A"/>
    <w:rsid w:val="005A1D95"/>
    <w:rsid w:val="005A326A"/>
    <w:rsid w:val="005A3468"/>
    <w:rsid w:val="005A41F2"/>
    <w:rsid w:val="005A547A"/>
    <w:rsid w:val="005A56B6"/>
    <w:rsid w:val="005B0068"/>
    <w:rsid w:val="005B0245"/>
    <w:rsid w:val="005B1044"/>
    <w:rsid w:val="005B18D8"/>
    <w:rsid w:val="005B1B7B"/>
    <w:rsid w:val="005B1FAA"/>
    <w:rsid w:val="005B205E"/>
    <w:rsid w:val="005B2463"/>
    <w:rsid w:val="005B2D75"/>
    <w:rsid w:val="005B34A6"/>
    <w:rsid w:val="005B3DA5"/>
    <w:rsid w:val="005B5337"/>
    <w:rsid w:val="005B5F77"/>
    <w:rsid w:val="005B5F82"/>
    <w:rsid w:val="005B6330"/>
    <w:rsid w:val="005B66BA"/>
    <w:rsid w:val="005B737F"/>
    <w:rsid w:val="005B79B9"/>
    <w:rsid w:val="005C0117"/>
    <w:rsid w:val="005C1013"/>
    <w:rsid w:val="005C1237"/>
    <w:rsid w:val="005C13E5"/>
    <w:rsid w:val="005C1D42"/>
    <w:rsid w:val="005C1DE9"/>
    <w:rsid w:val="005C2298"/>
    <w:rsid w:val="005C2A1B"/>
    <w:rsid w:val="005C2C8A"/>
    <w:rsid w:val="005C3CB3"/>
    <w:rsid w:val="005C3E47"/>
    <w:rsid w:val="005C4600"/>
    <w:rsid w:val="005C4DCB"/>
    <w:rsid w:val="005C4DD4"/>
    <w:rsid w:val="005C59B1"/>
    <w:rsid w:val="005C5D5B"/>
    <w:rsid w:val="005C6D10"/>
    <w:rsid w:val="005C7E2A"/>
    <w:rsid w:val="005D026E"/>
    <w:rsid w:val="005D2CFA"/>
    <w:rsid w:val="005D31C2"/>
    <w:rsid w:val="005D3612"/>
    <w:rsid w:val="005D404A"/>
    <w:rsid w:val="005D420A"/>
    <w:rsid w:val="005D438D"/>
    <w:rsid w:val="005D4C5B"/>
    <w:rsid w:val="005D4FC8"/>
    <w:rsid w:val="005D544F"/>
    <w:rsid w:val="005D55DA"/>
    <w:rsid w:val="005D5A2E"/>
    <w:rsid w:val="005D5C47"/>
    <w:rsid w:val="005D5CA3"/>
    <w:rsid w:val="005D7AF6"/>
    <w:rsid w:val="005E0C30"/>
    <w:rsid w:val="005E1134"/>
    <w:rsid w:val="005E1239"/>
    <w:rsid w:val="005E14BB"/>
    <w:rsid w:val="005E19A0"/>
    <w:rsid w:val="005E1E25"/>
    <w:rsid w:val="005E33B5"/>
    <w:rsid w:val="005E347C"/>
    <w:rsid w:val="005E4064"/>
    <w:rsid w:val="005E441C"/>
    <w:rsid w:val="005E4AE2"/>
    <w:rsid w:val="005E4E54"/>
    <w:rsid w:val="005E630F"/>
    <w:rsid w:val="005E64D4"/>
    <w:rsid w:val="005E6F9E"/>
    <w:rsid w:val="005F0416"/>
    <w:rsid w:val="005F050A"/>
    <w:rsid w:val="005F0CE4"/>
    <w:rsid w:val="005F0DAB"/>
    <w:rsid w:val="005F155A"/>
    <w:rsid w:val="005F210F"/>
    <w:rsid w:val="005F2D6F"/>
    <w:rsid w:val="005F322A"/>
    <w:rsid w:val="005F327C"/>
    <w:rsid w:val="005F51C5"/>
    <w:rsid w:val="005F5BF7"/>
    <w:rsid w:val="005F5C4B"/>
    <w:rsid w:val="005F61C7"/>
    <w:rsid w:val="005F6ABF"/>
    <w:rsid w:val="005F6AED"/>
    <w:rsid w:val="005F7002"/>
    <w:rsid w:val="005F7276"/>
    <w:rsid w:val="006001DD"/>
    <w:rsid w:val="00603EBB"/>
    <w:rsid w:val="006045B7"/>
    <w:rsid w:val="00605893"/>
    <w:rsid w:val="00605EE1"/>
    <w:rsid w:val="00605F31"/>
    <w:rsid w:val="006062B6"/>
    <w:rsid w:val="00606971"/>
    <w:rsid w:val="00607815"/>
    <w:rsid w:val="0061093F"/>
    <w:rsid w:val="006119A0"/>
    <w:rsid w:val="00611A5A"/>
    <w:rsid w:val="006122BD"/>
    <w:rsid w:val="00612900"/>
    <w:rsid w:val="0061314A"/>
    <w:rsid w:val="00613421"/>
    <w:rsid w:val="00613563"/>
    <w:rsid w:val="006140D5"/>
    <w:rsid w:val="0061565B"/>
    <w:rsid w:val="006158E7"/>
    <w:rsid w:val="00615E97"/>
    <w:rsid w:val="00616A86"/>
    <w:rsid w:val="0061746B"/>
    <w:rsid w:val="006178E2"/>
    <w:rsid w:val="00617A77"/>
    <w:rsid w:val="00621A5F"/>
    <w:rsid w:val="0062250F"/>
    <w:rsid w:val="00622701"/>
    <w:rsid w:val="0062287E"/>
    <w:rsid w:val="0062298F"/>
    <w:rsid w:val="00622A7A"/>
    <w:rsid w:val="00624212"/>
    <w:rsid w:val="00624BFB"/>
    <w:rsid w:val="0062544E"/>
    <w:rsid w:val="006258A3"/>
    <w:rsid w:val="00625BC2"/>
    <w:rsid w:val="00627306"/>
    <w:rsid w:val="006279B4"/>
    <w:rsid w:val="0063028D"/>
    <w:rsid w:val="006307B3"/>
    <w:rsid w:val="00631D2F"/>
    <w:rsid w:val="00631F86"/>
    <w:rsid w:val="006328B6"/>
    <w:rsid w:val="006335EB"/>
    <w:rsid w:val="00633879"/>
    <w:rsid w:val="00634362"/>
    <w:rsid w:val="006344D1"/>
    <w:rsid w:val="006347B4"/>
    <w:rsid w:val="006353BA"/>
    <w:rsid w:val="00635F5F"/>
    <w:rsid w:val="00637296"/>
    <w:rsid w:val="0064002E"/>
    <w:rsid w:val="006400A2"/>
    <w:rsid w:val="00640B72"/>
    <w:rsid w:val="00640BAA"/>
    <w:rsid w:val="00641628"/>
    <w:rsid w:val="00641771"/>
    <w:rsid w:val="00642399"/>
    <w:rsid w:val="00643446"/>
    <w:rsid w:val="006434D1"/>
    <w:rsid w:val="0064356C"/>
    <w:rsid w:val="00643778"/>
    <w:rsid w:val="00644273"/>
    <w:rsid w:val="00644530"/>
    <w:rsid w:val="00644AD5"/>
    <w:rsid w:val="00644EC1"/>
    <w:rsid w:val="00645447"/>
    <w:rsid w:val="006455F3"/>
    <w:rsid w:val="00646CBF"/>
    <w:rsid w:val="0064719C"/>
    <w:rsid w:val="006479CB"/>
    <w:rsid w:val="006500CA"/>
    <w:rsid w:val="006503EB"/>
    <w:rsid w:val="006516A0"/>
    <w:rsid w:val="00651898"/>
    <w:rsid w:val="0065218C"/>
    <w:rsid w:val="006529FE"/>
    <w:rsid w:val="006539E9"/>
    <w:rsid w:val="00653A12"/>
    <w:rsid w:val="00653F96"/>
    <w:rsid w:val="006540DF"/>
    <w:rsid w:val="00654853"/>
    <w:rsid w:val="006548AE"/>
    <w:rsid w:val="00654AAA"/>
    <w:rsid w:val="00654BE6"/>
    <w:rsid w:val="00654DC1"/>
    <w:rsid w:val="006556A4"/>
    <w:rsid w:val="00656EA6"/>
    <w:rsid w:val="006575A5"/>
    <w:rsid w:val="0065765B"/>
    <w:rsid w:val="00660392"/>
    <w:rsid w:val="00660D22"/>
    <w:rsid w:val="00661158"/>
    <w:rsid w:val="006613D3"/>
    <w:rsid w:val="00661585"/>
    <w:rsid w:val="00661920"/>
    <w:rsid w:val="006626C4"/>
    <w:rsid w:val="00662D98"/>
    <w:rsid w:val="00663B40"/>
    <w:rsid w:val="006641E0"/>
    <w:rsid w:val="006658B7"/>
    <w:rsid w:val="00665DF5"/>
    <w:rsid w:val="00666E42"/>
    <w:rsid w:val="00667129"/>
    <w:rsid w:val="006673A9"/>
    <w:rsid w:val="006675C4"/>
    <w:rsid w:val="00670BBA"/>
    <w:rsid w:val="00670D04"/>
    <w:rsid w:val="00671C81"/>
    <w:rsid w:val="006727E5"/>
    <w:rsid w:val="00673484"/>
    <w:rsid w:val="0067351A"/>
    <w:rsid w:val="00673F88"/>
    <w:rsid w:val="0067476E"/>
    <w:rsid w:val="00674F8D"/>
    <w:rsid w:val="00674FB8"/>
    <w:rsid w:val="00676555"/>
    <w:rsid w:val="0067689C"/>
    <w:rsid w:val="00676942"/>
    <w:rsid w:val="006776E0"/>
    <w:rsid w:val="00677C52"/>
    <w:rsid w:val="00680844"/>
    <w:rsid w:val="00681177"/>
    <w:rsid w:val="006820A5"/>
    <w:rsid w:val="00682897"/>
    <w:rsid w:val="00682A26"/>
    <w:rsid w:val="00682A7C"/>
    <w:rsid w:val="00683CF9"/>
    <w:rsid w:val="00683D10"/>
    <w:rsid w:val="00683DBB"/>
    <w:rsid w:val="006842B4"/>
    <w:rsid w:val="00684548"/>
    <w:rsid w:val="00684748"/>
    <w:rsid w:val="00684CED"/>
    <w:rsid w:val="0068542B"/>
    <w:rsid w:val="00686739"/>
    <w:rsid w:val="006877C7"/>
    <w:rsid w:val="0069057E"/>
    <w:rsid w:val="006906D4"/>
    <w:rsid w:val="00690983"/>
    <w:rsid w:val="00690A97"/>
    <w:rsid w:val="006919BB"/>
    <w:rsid w:val="00691DB1"/>
    <w:rsid w:val="00691FAB"/>
    <w:rsid w:val="0069366E"/>
    <w:rsid w:val="0069432A"/>
    <w:rsid w:val="00694DF8"/>
    <w:rsid w:val="00694EC9"/>
    <w:rsid w:val="00695677"/>
    <w:rsid w:val="006972E0"/>
    <w:rsid w:val="006A0DA6"/>
    <w:rsid w:val="006A1245"/>
    <w:rsid w:val="006A1515"/>
    <w:rsid w:val="006A17B0"/>
    <w:rsid w:val="006A2359"/>
    <w:rsid w:val="006A3124"/>
    <w:rsid w:val="006A325D"/>
    <w:rsid w:val="006A3305"/>
    <w:rsid w:val="006A3B5A"/>
    <w:rsid w:val="006A49ED"/>
    <w:rsid w:val="006A5F24"/>
    <w:rsid w:val="006A646F"/>
    <w:rsid w:val="006A6677"/>
    <w:rsid w:val="006A6966"/>
    <w:rsid w:val="006B09AA"/>
    <w:rsid w:val="006B09F7"/>
    <w:rsid w:val="006B19FD"/>
    <w:rsid w:val="006B1BDD"/>
    <w:rsid w:val="006B1E40"/>
    <w:rsid w:val="006B384B"/>
    <w:rsid w:val="006B39EA"/>
    <w:rsid w:val="006B492A"/>
    <w:rsid w:val="006B5680"/>
    <w:rsid w:val="006B60D4"/>
    <w:rsid w:val="006B61D2"/>
    <w:rsid w:val="006B6568"/>
    <w:rsid w:val="006B6AE9"/>
    <w:rsid w:val="006B6E2A"/>
    <w:rsid w:val="006B72E3"/>
    <w:rsid w:val="006B7DD6"/>
    <w:rsid w:val="006C05B5"/>
    <w:rsid w:val="006C0DFA"/>
    <w:rsid w:val="006C1CB0"/>
    <w:rsid w:val="006C2784"/>
    <w:rsid w:val="006C3308"/>
    <w:rsid w:val="006C35AA"/>
    <w:rsid w:val="006C35E6"/>
    <w:rsid w:val="006C471F"/>
    <w:rsid w:val="006C516A"/>
    <w:rsid w:val="006C55CB"/>
    <w:rsid w:val="006C57E4"/>
    <w:rsid w:val="006C580C"/>
    <w:rsid w:val="006C599F"/>
    <w:rsid w:val="006C5C3F"/>
    <w:rsid w:val="006C6227"/>
    <w:rsid w:val="006C659A"/>
    <w:rsid w:val="006C68B0"/>
    <w:rsid w:val="006C6A2B"/>
    <w:rsid w:val="006C6ACB"/>
    <w:rsid w:val="006C72E3"/>
    <w:rsid w:val="006C74C6"/>
    <w:rsid w:val="006C7816"/>
    <w:rsid w:val="006C7C8E"/>
    <w:rsid w:val="006D01B8"/>
    <w:rsid w:val="006D0512"/>
    <w:rsid w:val="006D09E6"/>
    <w:rsid w:val="006D1284"/>
    <w:rsid w:val="006D237E"/>
    <w:rsid w:val="006D2904"/>
    <w:rsid w:val="006D317A"/>
    <w:rsid w:val="006D3338"/>
    <w:rsid w:val="006D46A7"/>
    <w:rsid w:val="006D5133"/>
    <w:rsid w:val="006D5466"/>
    <w:rsid w:val="006D549D"/>
    <w:rsid w:val="006D6A18"/>
    <w:rsid w:val="006D6B06"/>
    <w:rsid w:val="006D72CA"/>
    <w:rsid w:val="006D791D"/>
    <w:rsid w:val="006E0E24"/>
    <w:rsid w:val="006E1B17"/>
    <w:rsid w:val="006E1ECD"/>
    <w:rsid w:val="006E33B9"/>
    <w:rsid w:val="006E411C"/>
    <w:rsid w:val="006E4C82"/>
    <w:rsid w:val="006E4EE1"/>
    <w:rsid w:val="006E589B"/>
    <w:rsid w:val="006E6E81"/>
    <w:rsid w:val="006E7D08"/>
    <w:rsid w:val="006F00CB"/>
    <w:rsid w:val="006F04DA"/>
    <w:rsid w:val="006F0593"/>
    <w:rsid w:val="006F1B5E"/>
    <w:rsid w:val="006F29EF"/>
    <w:rsid w:val="006F3B39"/>
    <w:rsid w:val="006F42CA"/>
    <w:rsid w:val="006F43B2"/>
    <w:rsid w:val="006F49BD"/>
    <w:rsid w:val="006F5594"/>
    <w:rsid w:val="006F562C"/>
    <w:rsid w:val="006F5E6D"/>
    <w:rsid w:val="006F7295"/>
    <w:rsid w:val="00700BC5"/>
    <w:rsid w:val="00700FF5"/>
    <w:rsid w:val="00701716"/>
    <w:rsid w:val="00701BC6"/>
    <w:rsid w:val="00703355"/>
    <w:rsid w:val="007039F3"/>
    <w:rsid w:val="00703E6B"/>
    <w:rsid w:val="007043F8"/>
    <w:rsid w:val="00704714"/>
    <w:rsid w:val="007053E8"/>
    <w:rsid w:val="00705434"/>
    <w:rsid w:val="0070554B"/>
    <w:rsid w:val="007063CB"/>
    <w:rsid w:val="00706C05"/>
    <w:rsid w:val="007070D3"/>
    <w:rsid w:val="00707599"/>
    <w:rsid w:val="00707668"/>
    <w:rsid w:val="00707F2E"/>
    <w:rsid w:val="00710081"/>
    <w:rsid w:val="00710595"/>
    <w:rsid w:val="00710BB3"/>
    <w:rsid w:val="007110F7"/>
    <w:rsid w:val="00711387"/>
    <w:rsid w:val="007113A0"/>
    <w:rsid w:val="007124F9"/>
    <w:rsid w:val="00712ED1"/>
    <w:rsid w:val="00713626"/>
    <w:rsid w:val="00713BFA"/>
    <w:rsid w:val="00714510"/>
    <w:rsid w:val="00715B0D"/>
    <w:rsid w:val="00716A29"/>
    <w:rsid w:val="007173D0"/>
    <w:rsid w:val="0071765E"/>
    <w:rsid w:val="00717B0C"/>
    <w:rsid w:val="00721268"/>
    <w:rsid w:val="00722339"/>
    <w:rsid w:val="00722C1D"/>
    <w:rsid w:val="00722D4F"/>
    <w:rsid w:val="007237C2"/>
    <w:rsid w:val="00725879"/>
    <w:rsid w:val="00725CAA"/>
    <w:rsid w:val="00726B8E"/>
    <w:rsid w:val="00726E77"/>
    <w:rsid w:val="00727565"/>
    <w:rsid w:val="007279C6"/>
    <w:rsid w:val="00727AA9"/>
    <w:rsid w:val="00727BB2"/>
    <w:rsid w:val="00727FDE"/>
    <w:rsid w:val="00730BD6"/>
    <w:rsid w:val="00730C78"/>
    <w:rsid w:val="00730EC6"/>
    <w:rsid w:val="007311F4"/>
    <w:rsid w:val="00731201"/>
    <w:rsid w:val="0073159F"/>
    <w:rsid w:val="00732333"/>
    <w:rsid w:val="00732533"/>
    <w:rsid w:val="00732A1D"/>
    <w:rsid w:val="0073329C"/>
    <w:rsid w:val="007336FF"/>
    <w:rsid w:val="00734047"/>
    <w:rsid w:val="00734E7A"/>
    <w:rsid w:val="007351F9"/>
    <w:rsid w:val="00735CF2"/>
    <w:rsid w:val="00735F40"/>
    <w:rsid w:val="00736F52"/>
    <w:rsid w:val="007376F0"/>
    <w:rsid w:val="00737901"/>
    <w:rsid w:val="00741A8C"/>
    <w:rsid w:val="00741ED1"/>
    <w:rsid w:val="00742391"/>
    <w:rsid w:val="00742F05"/>
    <w:rsid w:val="007433F0"/>
    <w:rsid w:val="007438C6"/>
    <w:rsid w:val="00744193"/>
    <w:rsid w:val="007441C1"/>
    <w:rsid w:val="00744553"/>
    <w:rsid w:val="00745024"/>
    <w:rsid w:val="007450BC"/>
    <w:rsid w:val="0074554C"/>
    <w:rsid w:val="007456D5"/>
    <w:rsid w:val="007465C5"/>
    <w:rsid w:val="007466A0"/>
    <w:rsid w:val="00746852"/>
    <w:rsid w:val="0074689B"/>
    <w:rsid w:val="00747C23"/>
    <w:rsid w:val="00747ECD"/>
    <w:rsid w:val="00750856"/>
    <w:rsid w:val="0075092F"/>
    <w:rsid w:val="00750E87"/>
    <w:rsid w:val="007527E9"/>
    <w:rsid w:val="00752DD9"/>
    <w:rsid w:val="00753629"/>
    <w:rsid w:val="00753D2E"/>
    <w:rsid w:val="00753D8B"/>
    <w:rsid w:val="00754174"/>
    <w:rsid w:val="00754324"/>
    <w:rsid w:val="00754547"/>
    <w:rsid w:val="00754B9B"/>
    <w:rsid w:val="00755A47"/>
    <w:rsid w:val="00756473"/>
    <w:rsid w:val="00756D03"/>
    <w:rsid w:val="0075738C"/>
    <w:rsid w:val="00760AA3"/>
    <w:rsid w:val="00760E79"/>
    <w:rsid w:val="007614A3"/>
    <w:rsid w:val="00761D6C"/>
    <w:rsid w:val="00762EF2"/>
    <w:rsid w:val="007630EC"/>
    <w:rsid w:val="00763868"/>
    <w:rsid w:val="00763DC6"/>
    <w:rsid w:val="00763DD9"/>
    <w:rsid w:val="00764ADD"/>
    <w:rsid w:val="00764D79"/>
    <w:rsid w:val="007656C7"/>
    <w:rsid w:val="00767033"/>
    <w:rsid w:val="007671D9"/>
    <w:rsid w:val="00767835"/>
    <w:rsid w:val="00767E36"/>
    <w:rsid w:val="00770D3D"/>
    <w:rsid w:val="007729D4"/>
    <w:rsid w:val="00772B04"/>
    <w:rsid w:val="00773698"/>
    <w:rsid w:val="00773BA4"/>
    <w:rsid w:val="007742F1"/>
    <w:rsid w:val="007765E9"/>
    <w:rsid w:val="00776766"/>
    <w:rsid w:val="007813B4"/>
    <w:rsid w:val="007817D7"/>
    <w:rsid w:val="00781FC1"/>
    <w:rsid w:val="00782240"/>
    <w:rsid w:val="0078240E"/>
    <w:rsid w:val="00782612"/>
    <w:rsid w:val="0078316C"/>
    <w:rsid w:val="00783423"/>
    <w:rsid w:val="00783D9A"/>
    <w:rsid w:val="00783DC6"/>
    <w:rsid w:val="00784CCA"/>
    <w:rsid w:val="00785D72"/>
    <w:rsid w:val="00785E0A"/>
    <w:rsid w:val="00786143"/>
    <w:rsid w:val="007869F8"/>
    <w:rsid w:val="00787837"/>
    <w:rsid w:val="007901D4"/>
    <w:rsid w:val="007903CF"/>
    <w:rsid w:val="00790E8F"/>
    <w:rsid w:val="00790EAE"/>
    <w:rsid w:val="00791A66"/>
    <w:rsid w:val="00791B12"/>
    <w:rsid w:val="00792BAB"/>
    <w:rsid w:val="00792EC6"/>
    <w:rsid w:val="00793667"/>
    <w:rsid w:val="00793700"/>
    <w:rsid w:val="007946C7"/>
    <w:rsid w:val="00794EA7"/>
    <w:rsid w:val="0079505C"/>
    <w:rsid w:val="00795D8C"/>
    <w:rsid w:val="007976B2"/>
    <w:rsid w:val="00797D9D"/>
    <w:rsid w:val="007A00B2"/>
    <w:rsid w:val="007A13E7"/>
    <w:rsid w:val="007A1760"/>
    <w:rsid w:val="007A2FF4"/>
    <w:rsid w:val="007A3F41"/>
    <w:rsid w:val="007A4689"/>
    <w:rsid w:val="007A56B2"/>
    <w:rsid w:val="007A6A8F"/>
    <w:rsid w:val="007A6E9A"/>
    <w:rsid w:val="007A720C"/>
    <w:rsid w:val="007B1588"/>
    <w:rsid w:val="007B38C1"/>
    <w:rsid w:val="007B3A32"/>
    <w:rsid w:val="007B519D"/>
    <w:rsid w:val="007B5E1E"/>
    <w:rsid w:val="007B62F8"/>
    <w:rsid w:val="007B642D"/>
    <w:rsid w:val="007B6B58"/>
    <w:rsid w:val="007C02A8"/>
    <w:rsid w:val="007C0346"/>
    <w:rsid w:val="007C0F0E"/>
    <w:rsid w:val="007C12C9"/>
    <w:rsid w:val="007C22CC"/>
    <w:rsid w:val="007C3D88"/>
    <w:rsid w:val="007C43AF"/>
    <w:rsid w:val="007C5581"/>
    <w:rsid w:val="007C587C"/>
    <w:rsid w:val="007C5F8A"/>
    <w:rsid w:val="007C62BD"/>
    <w:rsid w:val="007C791D"/>
    <w:rsid w:val="007C7A02"/>
    <w:rsid w:val="007D0080"/>
    <w:rsid w:val="007D0503"/>
    <w:rsid w:val="007D06E5"/>
    <w:rsid w:val="007D12AE"/>
    <w:rsid w:val="007D1678"/>
    <w:rsid w:val="007D1D1D"/>
    <w:rsid w:val="007D220B"/>
    <w:rsid w:val="007D3397"/>
    <w:rsid w:val="007D3BDD"/>
    <w:rsid w:val="007D4AEF"/>
    <w:rsid w:val="007D4F11"/>
    <w:rsid w:val="007D56B5"/>
    <w:rsid w:val="007D585F"/>
    <w:rsid w:val="007D611B"/>
    <w:rsid w:val="007D66D7"/>
    <w:rsid w:val="007D6FA1"/>
    <w:rsid w:val="007E01BE"/>
    <w:rsid w:val="007E0A71"/>
    <w:rsid w:val="007E128D"/>
    <w:rsid w:val="007E27AA"/>
    <w:rsid w:val="007E2F37"/>
    <w:rsid w:val="007E3E8B"/>
    <w:rsid w:val="007E45F1"/>
    <w:rsid w:val="007E483E"/>
    <w:rsid w:val="007E484A"/>
    <w:rsid w:val="007E4A28"/>
    <w:rsid w:val="007E4DAC"/>
    <w:rsid w:val="007E5ECA"/>
    <w:rsid w:val="007E60D2"/>
    <w:rsid w:val="007E619D"/>
    <w:rsid w:val="007E68D4"/>
    <w:rsid w:val="007E72E3"/>
    <w:rsid w:val="007F0236"/>
    <w:rsid w:val="007F04EC"/>
    <w:rsid w:val="007F0DBE"/>
    <w:rsid w:val="007F0EAF"/>
    <w:rsid w:val="007F1134"/>
    <w:rsid w:val="007F15B5"/>
    <w:rsid w:val="007F23F4"/>
    <w:rsid w:val="007F2B34"/>
    <w:rsid w:val="007F3039"/>
    <w:rsid w:val="007F36ED"/>
    <w:rsid w:val="007F3DA3"/>
    <w:rsid w:val="007F3F69"/>
    <w:rsid w:val="007F4BF3"/>
    <w:rsid w:val="007F5841"/>
    <w:rsid w:val="007F7AA0"/>
    <w:rsid w:val="00800738"/>
    <w:rsid w:val="00800916"/>
    <w:rsid w:val="00800EE9"/>
    <w:rsid w:val="00801730"/>
    <w:rsid w:val="00801DEF"/>
    <w:rsid w:val="00802B5B"/>
    <w:rsid w:val="00803009"/>
    <w:rsid w:val="0080378D"/>
    <w:rsid w:val="008037C3"/>
    <w:rsid w:val="00804F61"/>
    <w:rsid w:val="0080554E"/>
    <w:rsid w:val="00805964"/>
    <w:rsid w:val="00806CB5"/>
    <w:rsid w:val="00807D0C"/>
    <w:rsid w:val="00807FD3"/>
    <w:rsid w:val="0081063E"/>
    <w:rsid w:val="00810C70"/>
    <w:rsid w:val="00811135"/>
    <w:rsid w:val="008112E4"/>
    <w:rsid w:val="008116A3"/>
    <w:rsid w:val="008117EB"/>
    <w:rsid w:val="00811C97"/>
    <w:rsid w:val="00812459"/>
    <w:rsid w:val="0081287D"/>
    <w:rsid w:val="0081299C"/>
    <w:rsid w:val="00814F6C"/>
    <w:rsid w:val="00815026"/>
    <w:rsid w:val="00815D94"/>
    <w:rsid w:val="00817656"/>
    <w:rsid w:val="00817A63"/>
    <w:rsid w:val="00821948"/>
    <w:rsid w:val="00821BBA"/>
    <w:rsid w:val="00821CC1"/>
    <w:rsid w:val="00822535"/>
    <w:rsid w:val="008226AF"/>
    <w:rsid w:val="00822C1F"/>
    <w:rsid w:val="008230F1"/>
    <w:rsid w:val="00823A23"/>
    <w:rsid w:val="0082483A"/>
    <w:rsid w:val="008250E7"/>
    <w:rsid w:val="0083062F"/>
    <w:rsid w:val="00830D90"/>
    <w:rsid w:val="008317AA"/>
    <w:rsid w:val="00831E8E"/>
    <w:rsid w:val="00832334"/>
    <w:rsid w:val="00832362"/>
    <w:rsid w:val="00835820"/>
    <w:rsid w:val="00835BEE"/>
    <w:rsid w:val="00835DD6"/>
    <w:rsid w:val="00836312"/>
    <w:rsid w:val="008364E7"/>
    <w:rsid w:val="008368A1"/>
    <w:rsid w:val="008368EB"/>
    <w:rsid w:val="008376D9"/>
    <w:rsid w:val="00837C7C"/>
    <w:rsid w:val="00841EF5"/>
    <w:rsid w:val="0084283C"/>
    <w:rsid w:val="00842916"/>
    <w:rsid w:val="00842A78"/>
    <w:rsid w:val="008434AA"/>
    <w:rsid w:val="00843C93"/>
    <w:rsid w:val="00844354"/>
    <w:rsid w:val="008449A0"/>
    <w:rsid w:val="00845A7B"/>
    <w:rsid w:val="00846F14"/>
    <w:rsid w:val="0084750A"/>
    <w:rsid w:val="00847B97"/>
    <w:rsid w:val="00850163"/>
    <w:rsid w:val="0085066B"/>
    <w:rsid w:val="00851017"/>
    <w:rsid w:val="008514A5"/>
    <w:rsid w:val="00852436"/>
    <w:rsid w:val="008528A4"/>
    <w:rsid w:val="00854009"/>
    <w:rsid w:val="0085455A"/>
    <w:rsid w:val="00854A7F"/>
    <w:rsid w:val="00854AE2"/>
    <w:rsid w:val="00854D03"/>
    <w:rsid w:val="00855D57"/>
    <w:rsid w:val="00855F57"/>
    <w:rsid w:val="00856F2F"/>
    <w:rsid w:val="0085708A"/>
    <w:rsid w:val="00857738"/>
    <w:rsid w:val="00857A94"/>
    <w:rsid w:val="00861306"/>
    <w:rsid w:val="00861EEF"/>
    <w:rsid w:val="00862AB5"/>
    <w:rsid w:val="00863504"/>
    <w:rsid w:val="008635B0"/>
    <w:rsid w:val="0086395A"/>
    <w:rsid w:val="00863BCE"/>
    <w:rsid w:val="00864706"/>
    <w:rsid w:val="008653B1"/>
    <w:rsid w:val="00865B76"/>
    <w:rsid w:val="00865F7C"/>
    <w:rsid w:val="00865FF6"/>
    <w:rsid w:val="00866861"/>
    <w:rsid w:val="00867BBF"/>
    <w:rsid w:val="00867C45"/>
    <w:rsid w:val="00870AC9"/>
    <w:rsid w:val="00870D01"/>
    <w:rsid w:val="0087111C"/>
    <w:rsid w:val="00871F5B"/>
    <w:rsid w:val="00873BC2"/>
    <w:rsid w:val="008741E1"/>
    <w:rsid w:val="00874741"/>
    <w:rsid w:val="00875A2F"/>
    <w:rsid w:val="00876AE9"/>
    <w:rsid w:val="00877639"/>
    <w:rsid w:val="00877907"/>
    <w:rsid w:val="00877E9A"/>
    <w:rsid w:val="00880553"/>
    <w:rsid w:val="008811D4"/>
    <w:rsid w:val="00882409"/>
    <w:rsid w:val="008831D9"/>
    <w:rsid w:val="00883690"/>
    <w:rsid w:val="00883F79"/>
    <w:rsid w:val="00885AAB"/>
    <w:rsid w:val="008870B6"/>
    <w:rsid w:val="008876B2"/>
    <w:rsid w:val="00887C6C"/>
    <w:rsid w:val="00887CA7"/>
    <w:rsid w:val="00887EE3"/>
    <w:rsid w:val="00890E96"/>
    <w:rsid w:val="00892773"/>
    <w:rsid w:val="00893132"/>
    <w:rsid w:val="00893D5E"/>
    <w:rsid w:val="00895236"/>
    <w:rsid w:val="00895F7E"/>
    <w:rsid w:val="008964CA"/>
    <w:rsid w:val="00897320"/>
    <w:rsid w:val="008A080C"/>
    <w:rsid w:val="008A083E"/>
    <w:rsid w:val="008A0CDD"/>
    <w:rsid w:val="008A1DAF"/>
    <w:rsid w:val="008A3055"/>
    <w:rsid w:val="008A38C3"/>
    <w:rsid w:val="008A39E2"/>
    <w:rsid w:val="008A3A56"/>
    <w:rsid w:val="008A4514"/>
    <w:rsid w:val="008A4522"/>
    <w:rsid w:val="008A4698"/>
    <w:rsid w:val="008A51BE"/>
    <w:rsid w:val="008A580E"/>
    <w:rsid w:val="008A5931"/>
    <w:rsid w:val="008A634C"/>
    <w:rsid w:val="008A64EA"/>
    <w:rsid w:val="008B05D6"/>
    <w:rsid w:val="008B0D2F"/>
    <w:rsid w:val="008B120B"/>
    <w:rsid w:val="008B1DF3"/>
    <w:rsid w:val="008B265B"/>
    <w:rsid w:val="008B3362"/>
    <w:rsid w:val="008B3499"/>
    <w:rsid w:val="008B38EB"/>
    <w:rsid w:val="008B4191"/>
    <w:rsid w:val="008B4B4C"/>
    <w:rsid w:val="008B4C5E"/>
    <w:rsid w:val="008B4F75"/>
    <w:rsid w:val="008B508F"/>
    <w:rsid w:val="008B50E9"/>
    <w:rsid w:val="008B588A"/>
    <w:rsid w:val="008B5A3C"/>
    <w:rsid w:val="008B652A"/>
    <w:rsid w:val="008B691C"/>
    <w:rsid w:val="008B6D02"/>
    <w:rsid w:val="008B7259"/>
    <w:rsid w:val="008B7A5E"/>
    <w:rsid w:val="008B7C6D"/>
    <w:rsid w:val="008C0047"/>
    <w:rsid w:val="008C18A5"/>
    <w:rsid w:val="008C1B08"/>
    <w:rsid w:val="008C1F6E"/>
    <w:rsid w:val="008C250D"/>
    <w:rsid w:val="008C439D"/>
    <w:rsid w:val="008C45C6"/>
    <w:rsid w:val="008C4E32"/>
    <w:rsid w:val="008C4E72"/>
    <w:rsid w:val="008C4F34"/>
    <w:rsid w:val="008C5780"/>
    <w:rsid w:val="008C662D"/>
    <w:rsid w:val="008C7246"/>
    <w:rsid w:val="008C7716"/>
    <w:rsid w:val="008C7FA8"/>
    <w:rsid w:val="008D029B"/>
    <w:rsid w:val="008D086C"/>
    <w:rsid w:val="008D1026"/>
    <w:rsid w:val="008D13A4"/>
    <w:rsid w:val="008D1464"/>
    <w:rsid w:val="008D1FC9"/>
    <w:rsid w:val="008D336D"/>
    <w:rsid w:val="008D35D5"/>
    <w:rsid w:val="008D3D9F"/>
    <w:rsid w:val="008D3EDE"/>
    <w:rsid w:val="008D404A"/>
    <w:rsid w:val="008D578C"/>
    <w:rsid w:val="008D5C34"/>
    <w:rsid w:val="008D6DF4"/>
    <w:rsid w:val="008D7754"/>
    <w:rsid w:val="008E0771"/>
    <w:rsid w:val="008E0B81"/>
    <w:rsid w:val="008E1553"/>
    <w:rsid w:val="008E212B"/>
    <w:rsid w:val="008E345E"/>
    <w:rsid w:val="008E37E7"/>
    <w:rsid w:val="008E550F"/>
    <w:rsid w:val="008E5C22"/>
    <w:rsid w:val="008E64FA"/>
    <w:rsid w:val="008E7C15"/>
    <w:rsid w:val="008F0AE8"/>
    <w:rsid w:val="008F0DE3"/>
    <w:rsid w:val="008F0E17"/>
    <w:rsid w:val="008F135B"/>
    <w:rsid w:val="008F1C94"/>
    <w:rsid w:val="008F202B"/>
    <w:rsid w:val="008F2128"/>
    <w:rsid w:val="008F2819"/>
    <w:rsid w:val="008F2FC1"/>
    <w:rsid w:val="008F353D"/>
    <w:rsid w:val="008F373B"/>
    <w:rsid w:val="008F4613"/>
    <w:rsid w:val="008F4C99"/>
    <w:rsid w:val="008F4E93"/>
    <w:rsid w:val="008F4F01"/>
    <w:rsid w:val="008F5BEC"/>
    <w:rsid w:val="008F649C"/>
    <w:rsid w:val="008F6F07"/>
    <w:rsid w:val="0090002E"/>
    <w:rsid w:val="009002D2"/>
    <w:rsid w:val="00900436"/>
    <w:rsid w:val="0090053A"/>
    <w:rsid w:val="00900D9F"/>
    <w:rsid w:val="00900E06"/>
    <w:rsid w:val="00904111"/>
    <w:rsid w:val="009055E3"/>
    <w:rsid w:val="009062CE"/>
    <w:rsid w:val="00906886"/>
    <w:rsid w:val="00910AF9"/>
    <w:rsid w:val="00910BF5"/>
    <w:rsid w:val="00911009"/>
    <w:rsid w:val="00911438"/>
    <w:rsid w:val="00911C7F"/>
    <w:rsid w:val="00911E1A"/>
    <w:rsid w:val="0091335F"/>
    <w:rsid w:val="009138E6"/>
    <w:rsid w:val="00913BB1"/>
    <w:rsid w:val="009141E3"/>
    <w:rsid w:val="00914E55"/>
    <w:rsid w:val="00914F47"/>
    <w:rsid w:val="00915615"/>
    <w:rsid w:val="00915777"/>
    <w:rsid w:val="00915D67"/>
    <w:rsid w:val="00916115"/>
    <w:rsid w:val="009169D8"/>
    <w:rsid w:val="00916B0D"/>
    <w:rsid w:val="00916B9B"/>
    <w:rsid w:val="00916D7C"/>
    <w:rsid w:val="00916FB0"/>
    <w:rsid w:val="009170AA"/>
    <w:rsid w:val="009176AD"/>
    <w:rsid w:val="00920023"/>
    <w:rsid w:val="00920AA8"/>
    <w:rsid w:val="00921167"/>
    <w:rsid w:val="0092188E"/>
    <w:rsid w:val="00922B6A"/>
    <w:rsid w:val="009232E2"/>
    <w:rsid w:val="009236F5"/>
    <w:rsid w:val="00923E47"/>
    <w:rsid w:val="00926565"/>
    <w:rsid w:val="00926AA2"/>
    <w:rsid w:val="009279A3"/>
    <w:rsid w:val="00927AF1"/>
    <w:rsid w:val="00930583"/>
    <w:rsid w:val="00930630"/>
    <w:rsid w:val="00930C51"/>
    <w:rsid w:val="0093294D"/>
    <w:rsid w:val="009333E3"/>
    <w:rsid w:val="00933B45"/>
    <w:rsid w:val="00934BA1"/>
    <w:rsid w:val="0093502D"/>
    <w:rsid w:val="00935754"/>
    <w:rsid w:val="00935FB7"/>
    <w:rsid w:val="00937687"/>
    <w:rsid w:val="00937964"/>
    <w:rsid w:val="00937E4C"/>
    <w:rsid w:val="009406E7"/>
    <w:rsid w:val="009411F9"/>
    <w:rsid w:val="00941A59"/>
    <w:rsid w:val="00941A86"/>
    <w:rsid w:val="0094207E"/>
    <w:rsid w:val="0094227C"/>
    <w:rsid w:val="0094271B"/>
    <w:rsid w:val="0094313B"/>
    <w:rsid w:val="00943921"/>
    <w:rsid w:val="009441C4"/>
    <w:rsid w:val="00944C1D"/>
    <w:rsid w:val="009471F5"/>
    <w:rsid w:val="0094747F"/>
    <w:rsid w:val="009504DB"/>
    <w:rsid w:val="00950EDA"/>
    <w:rsid w:val="00951321"/>
    <w:rsid w:val="00951649"/>
    <w:rsid w:val="00951C0E"/>
    <w:rsid w:val="0095218C"/>
    <w:rsid w:val="009527CA"/>
    <w:rsid w:val="009527F2"/>
    <w:rsid w:val="0095295F"/>
    <w:rsid w:val="00952B6E"/>
    <w:rsid w:val="00953D8A"/>
    <w:rsid w:val="00954159"/>
    <w:rsid w:val="009548E9"/>
    <w:rsid w:val="00955619"/>
    <w:rsid w:val="00955B1F"/>
    <w:rsid w:val="00955E5E"/>
    <w:rsid w:val="00955F2B"/>
    <w:rsid w:val="00956D8B"/>
    <w:rsid w:val="00957172"/>
    <w:rsid w:val="00957487"/>
    <w:rsid w:val="009601A5"/>
    <w:rsid w:val="00960C2E"/>
    <w:rsid w:val="00960F00"/>
    <w:rsid w:val="00961185"/>
    <w:rsid w:val="0096141D"/>
    <w:rsid w:val="009619E3"/>
    <w:rsid w:val="009637FF"/>
    <w:rsid w:val="00963A1A"/>
    <w:rsid w:val="00963C1A"/>
    <w:rsid w:val="00963C1F"/>
    <w:rsid w:val="00964D95"/>
    <w:rsid w:val="00965A79"/>
    <w:rsid w:val="00966EE1"/>
    <w:rsid w:val="00966F6F"/>
    <w:rsid w:val="00967263"/>
    <w:rsid w:val="00967AAB"/>
    <w:rsid w:val="00970D4B"/>
    <w:rsid w:val="00971E48"/>
    <w:rsid w:val="00973DF8"/>
    <w:rsid w:val="00974973"/>
    <w:rsid w:val="00975285"/>
    <w:rsid w:val="00975D8F"/>
    <w:rsid w:val="0097641A"/>
    <w:rsid w:val="0097665E"/>
    <w:rsid w:val="00976CFB"/>
    <w:rsid w:val="00976DD0"/>
    <w:rsid w:val="00976F2C"/>
    <w:rsid w:val="00980C78"/>
    <w:rsid w:val="00980ED7"/>
    <w:rsid w:val="0098133C"/>
    <w:rsid w:val="00981521"/>
    <w:rsid w:val="00981ED0"/>
    <w:rsid w:val="00982449"/>
    <w:rsid w:val="00983FD9"/>
    <w:rsid w:val="00984460"/>
    <w:rsid w:val="00985CCA"/>
    <w:rsid w:val="00986468"/>
    <w:rsid w:val="009864BC"/>
    <w:rsid w:val="00986CBB"/>
    <w:rsid w:val="00986DE1"/>
    <w:rsid w:val="009877F8"/>
    <w:rsid w:val="00990A52"/>
    <w:rsid w:val="00990E49"/>
    <w:rsid w:val="009920F5"/>
    <w:rsid w:val="0099216C"/>
    <w:rsid w:val="009927D4"/>
    <w:rsid w:val="00992B2B"/>
    <w:rsid w:val="00992DCC"/>
    <w:rsid w:val="009931DE"/>
    <w:rsid w:val="00993510"/>
    <w:rsid w:val="0099371C"/>
    <w:rsid w:val="00995E51"/>
    <w:rsid w:val="00996CEA"/>
    <w:rsid w:val="00997394"/>
    <w:rsid w:val="009A0E08"/>
    <w:rsid w:val="009A1984"/>
    <w:rsid w:val="009A1DA6"/>
    <w:rsid w:val="009A1F2B"/>
    <w:rsid w:val="009A2543"/>
    <w:rsid w:val="009A2E12"/>
    <w:rsid w:val="009A302C"/>
    <w:rsid w:val="009A3030"/>
    <w:rsid w:val="009A31C3"/>
    <w:rsid w:val="009A4A3E"/>
    <w:rsid w:val="009A6095"/>
    <w:rsid w:val="009A6249"/>
    <w:rsid w:val="009A6DFC"/>
    <w:rsid w:val="009A748B"/>
    <w:rsid w:val="009A799B"/>
    <w:rsid w:val="009B340D"/>
    <w:rsid w:val="009B3826"/>
    <w:rsid w:val="009B43F9"/>
    <w:rsid w:val="009B4467"/>
    <w:rsid w:val="009B4EE3"/>
    <w:rsid w:val="009B5890"/>
    <w:rsid w:val="009B5914"/>
    <w:rsid w:val="009B5C0B"/>
    <w:rsid w:val="009B5D40"/>
    <w:rsid w:val="009B5FF9"/>
    <w:rsid w:val="009B744A"/>
    <w:rsid w:val="009C003D"/>
    <w:rsid w:val="009C0888"/>
    <w:rsid w:val="009C1EA3"/>
    <w:rsid w:val="009C2336"/>
    <w:rsid w:val="009C435B"/>
    <w:rsid w:val="009C4B04"/>
    <w:rsid w:val="009C56F5"/>
    <w:rsid w:val="009C7E61"/>
    <w:rsid w:val="009C7FC0"/>
    <w:rsid w:val="009D154A"/>
    <w:rsid w:val="009D1D22"/>
    <w:rsid w:val="009D3005"/>
    <w:rsid w:val="009D3234"/>
    <w:rsid w:val="009D3779"/>
    <w:rsid w:val="009D4294"/>
    <w:rsid w:val="009D5599"/>
    <w:rsid w:val="009D57D3"/>
    <w:rsid w:val="009D6514"/>
    <w:rsid w:val="009D75FE"/>
    <w:rsid w:val="009D764F"/>
    <w:rsid w:val="009E0BD2"/>
    <w:rsid w:val="009E1309"/>
    <w:rsid w:val="009E23D2"/>
    <w:rsid w:val="009E2A6B"/>
    <w:rsid w:val="009E2CB5"/>
    <w:rsid w:val="009E3369"/>
    <w:rsid w:val="009E35FE"/>
    <w:rsid w:val="009E3AB0"/>
    <w:rsid w:val="009E3B38"/>
    <w:rsid w:val="009E3FA4"/>
    <w:rsid w:val="009E459D"/>
    <w:rsid w:val="009E474C"/>
    <w:rsid w:val="009E493A"/>
    <w:rsid w:val="009E49D9"/>
    <w:rsid w:val="009E5A3E"/>
    <w:rsid w:val="009E5EF0"/>
    <w:rsid w:val="009E5F17"/>
    <w:rsid w:val="009E68C7"/>
    <w:rsid w:val="009E741A"/>
    <w:rsid w:val="009E74FC"/>
    <w:rsid w:val="009E754C"/>
    <w:rsid w:val="009E763D"/>
    <w:rsid w:val="009F0332"/>
    <w:rsid w:val="009F03C8"/>
    <w:rsid w:val="009F063A"/>
    <w:rsid w:val="009F0784"/>
    <w:rsid w:val="009F0F8B"/>
    <w:rsid w:val="009F10A0"/>
    <w:rsid w:val="009F141C"/>
    <w:rsid w:val="009F1A74"/>
    <w:rsid w:val="009F20E6"/>
    <w:rsid w:val="009F231E"/>
    <w:rsid w:val="009F321E"/>
    <w:rsid w:val="009F3753"/>
    <w:rsid w:val="009F3ED3"/>
    <w:rsid w:val="009F442C"/>
    <w:rsid w:val="009F4D71"/>
    <w:rsid w:val="009F5151"/>
    <w:rsid w:val="009F5796"/>
    <w:rsid w:val="009F71F9"/>
    <w:rsid w:val="009F7209"/>
    <w:rsid w:val="009F78E2"/>
    <w:rsid w:val="009F7FAF"/>
    <w:rsid w:val="00A00020"/>
    <w:rsid w:val="00A00040"/>
    <w:rsid w:val="00A00F9D"/>
    <w:rsid w:val="00A01894"/>
    <w:rsid w:val="00A021CF"/>
    <w:rsid w:val="00A02334"/>
    <w:rsid w:val="00A02F3E"/>
    <w:rsid w:val="00A033B5"/>
    <w:rsid w:val="00A0391E"/>
    <w:rsid w:val="00A051C5"/>
    <w:rsid w:val="00A053D2"/>
    <w:rsid w:val="00A0672B"/>
    <w:rsid w:val="00A07132"/>
    <w:rsid w:val="00A119B3"/>
    <w:rsid w:val="00A11A29"/>
    <w:rsid w:val="00A11A2B"/>
    <w:rsid w:val="00A11ABF"/>
    <w:rsid w:val="00A1247F"/>
    <w:rsid w:val="00A127C1"/>
    <w:rsid w:val="00A127EB"/>
    <w:rsid w:val="00A13125"/>
    <w:rsid w:val="00A13575"/>
    <w:rsid w:val="00A13E1E"/>
    <w:rsid w:val="00A14082"/>
    <w:rsid w:val="00A145EA"/>
    <w:rsid w:val="00A14C6F"/>
    <w:rsid w:val="00A1509A"/>
    <w:rsid w:val="00A15214"/>
    <w:rsid w:val="00A15ACB"/>
    <w:rsid w:val="00A15F5D"/>
    <w:rsid w:val="00A165D3"/>
    <w:rsid w:val="00A16FC3"/>
    <w:rsid w:val="00A17D55"/>
    <w:rsid w:val="00A17E12"/>
    <w:rsid w:val="00A2074E"/>
    <w:rsid w:val="00A20899"/>
    <w:rsid w:val="00A20CF1"/>
    <w:rsid w:val="00A22B65"/>
    <w:rsid w:val="00A23204"/>
    <w:rsid w:val="00A23536"/>
    <w:rsid w:val="00A23FE7"/>
    <w:rsid w:val="00A2479A"/>
    <w:rsid w:val="00A26613"/>
    <w:rsid w:val="00A26E79"/>
    <w:rsid w:val="00A275B6"/>
    <w:rsid w:val="00A27721"/>
    <w:rsid w:val="00A314AF"/>
    <w:rsid w:val="00A31909"/>
    <w:rsid w:val="00A31AAA"/>
    <w:rsid w:val="00A322C5"/>
    <w:rsid w:val="00A3302F"/>
    <w:rsid w:val="00A33587"/>
    <w:rsid w:val="00A343B8"/>
    <w:rsid w:val="00A345CB"/>
    <w:rsid w:val="00A34D23"/>
    <w:rsid w:val="00A34DF9"/>
    <w:rsid w:val="00A36D73"/>
    <w:rsid w:val="00A37B57"/>
    <w:rsid w:val="00A37B9A"/>
    <w:rsid w:val="00A4107E"/>
    <w:rsid w:val="00A41A52"/>
    <w:rsid w:val="00A41F05"/>
    <w:rsid w:val="00A42553"/>
    <w:rsid w:val="00A452F1"/>
    <w:rsid w:val="00A45561"/>
    <w:rsid w:val="00A4649C"/>
    <w:rsid w:val="00A46C40"/>
    <w:rsid w:val="00A46C56"/>
    <w:rsid w:val="00A47385"/>
    <w:rsid w:val="00A475D0"/>
    <w:rsid w:val="00A508DB"/>
    <w:rsid w:val="00A509F6"/>
    <w:rsid w:val="00A50A92"/>
    <w:rsid w:val="00A52937"/>
    <w:rsid w:val="00A52D6F"/>
    <w:rsid w:val="00A53BA0"/>
    <w:rsid w:val="00A54830"/>
    <w:rsid w:val="00A557E3"/>
    <w:rsid w:val="00A55A48"/>
    <w:rsid w:val="00A566E9"/>
    <w:rsid w:val="00A56A78"/>
    <w:rsid w:val="00A56AB6"/>
    <w:rsid w:val="00A56BD6"/>
    <w:rsid w:val="00A56D23"/>
    <w:rsid w:val="00A57037"/>
    <w:rsid w:val="00A572CA"/>
    <w:rsid w:val="00A602B0"/>
    <w:rsid w:val="00A615ED"/>
    <w:rsid w:val="00A62DAE"/>
    <w:rsid w:val="00A64228"/>
    <w:rsid w:val="00A6482A"/>
    <w:rsid w:val="00A651CF"/>
    <w:rsid w:val="00A65A02"/>
    <w:rsid w:val="00A6628D"/>
    <w:rsid w:val="00A66486"/>
    <w:rsid w:val="00A67192"/>
    <w:rsid w:val="00A70ED3"/>
    <w:rsid w:val="00A712A9"/>
    <w:rsid w:val="00A71C68"/>
    <w:rsid w:val="00A7430B"/>
    <w:rsid w:val="00A75A94"/>
    <w:rsid w:val="00A75C24"/>
    <w:rsid w:val="00A77296"/>
    <w:rsid w:val="00A77481"/>
    <w:rsid w:val="00A776B9"/>
    <w:rsid w:val="00A80107"/>
    <w:rsid w:val="00A802BC"/>
    <w:rsid w:val="00A80CB5"/>
    <w:rsid w:val="00A825DB"/>
    <w:rsid w:val="00A83B96"/>
    <w:rsid w:val="00A84DFF"/>
    <w:rsid w:val="00A850B5"/>
    <w:rsid w:val="00A85879"/>
    <w:rsid w:val="00A87CC5"/>
    <w:rsid w:val="00A90453"/>
    <w:rsid w:val="00A908D0"/>
    <w:rsid w:val="00A90BC7"/>
    <w:rsid w:val="00A91DF5"/>
    <w:rsid w:val="00A9206E"/>
    <w:rsid w:val="00A921B1"/>
    <w:rsid w:val="00A9257E"/>
    <w:rsid w:val="00A926D6"/>
    <w:rsid w:val="00A927E6"/>
    <w:rsid w:val="00A92B88"/>
    <w:rsid w:val="00A93784"/>
    <w:rsid w:val="00A937D4"/>
    <w:rsid w:val="00A93D5E"/>
    <w:rsid w:val="00A94BAC"/>
    <w:rsid w:val="00A950A4"/>
    <w:rsid w:val="00A954E3"/>
    <w:rsid w:val="00A96217"/>
    <w:rsid w:val="00A9652C"/>
    <w:rsid w:val="00A96CF7"/>
    <w:rsid w:val="00A96FD3"/>
    <w:rsid w:val="00A9748F"/>
    <w:rsid w:val="00A97757"/>
    <w:rsid w:val="00AA0288"/>
    <w:rsid w:val="00AA09FE"/>
    <w:rsid w:val="00AA133E"/>
    <w:rsid w:val="00AA1769"/>
    <w:rsid w:val="00AA19CD"/>
    <w:rsid w:val="00AA225B"/>
    <w:rsid w:val="00AA2A45"/>
    <w:rsid w:val="00AA305B"/>
    <w:rsid w:val="00AA34DD"/>
    <w:rsid w:val="00AA3694"/>
    <w:rsid w:val="00AA4485"/>
    <w:rsid w:val="00AA4D23"/>
    <w:rsid w:val="00AA5478"/>
    <w:rsid w:val="00AA6022"/>
    <w:rsid w:val="00AA6129"/>
    <w:rsid w:val="00AA62AD"/>
    <w:rsid w:val="00AA6F74"/>
    <w:rsid w:val="00AA7F91"/>
    <w:rsid w:val="00AB058A"/>
    <w:rsid w:val="00AB0E7B"/>
    <w:rsid w:val="00AB1D7E"/>
    <w:rsid w:val="00AB2218"/>
    <w:rsid w:val="00AB378C"/>
    <w:rsid w:val="00AB3E82"/>
    <w:rsid w:val="00AB4564"/>
    <w:rsid w:val="00AB4574"/>
    <w:rsid w:val="00AB46B9"/>
    <w:rsid w:val="00AB4DB8"/>
    <w:rsid w:val="00AB4F9C"/>
    <w:rsid w:val="00AB51F6"/>
    <w:rsid w:val="00AB5329"/>
    <w:rsid w:val="00AB6229"/>
    <w:rsid w:val="00AB665E"/>
    <w:rsid w:val="00AB7721"/>
    <w:rsid w:val="00AC04E0"/>
    <w:rsid w:val="00AC12CE"/>
    <w:rsid w:val="00AC12E3"/>
    <w:rsid w:val="00AC1315"/>
    <w:rsid w:val="00AC15B9"/>
    <w:rsid w:val="00AC1A27"/>
    <w:rsid w:val="00AC1E36"/>
    <w:rsid w:val="00AC1F19"/>
    <w:rsid w:val="00AC30AD"/>
    <w:rsid w:val="00AC42AA"/>
    <w:rsid w:val="00AC4735"/>
    <w:rsid w:val="00AC4F68"/>
    <w:rsid w:val="00AC52B5"/>
    <w:rsid w:val="00AC5DBB"/>
    <w:rsid w:val="00AC674D"/>
    <w:rsid w:val="00AC6FAE"/>
    <w:rsid w:val="00AD183B"/>
    <w:rsid w:val="00AD1889"/>
    <w:rsid w:val="00AD2854"/>
    <w:rsid w:val="00AD29FA"/>
    <w:rsid w:val="00AD2BD2"/>
    <w:rsid w:val="00AD2C8E"/>
    <w:rsid w:val="00AD2F36"/>
    <w:rsid w:val="00AD3331"/>
    <w:rsid w:val="00AD39F2"/>
    <w:rsid w:val="00AD4FB6"/>
    <w:rsid w:val="00AD509A"/>
    <w:rsid w:val="00AD5B1D"/>
    <w:rsid w:val="00AD6690"/>
    <w:rsid w:val="00AD750D"/>
    <w:rsid w:val="00AD766C"/>
    <w:rsid w:val="00AE10F3"/>
    <w:rsid w:val="00AE1288"/>
    <w:rsid w:val="00AE3318"/>
    <w:rsid w:val="00AE372E"/>
    <w:rsid w:val="00AE466B"/>
    <w:rsid w:val="00AE49BA"/>
    <w:rsid w:val="00AE5248"/>
    <w:rsid w:val="00AE6BF4"/>
    <w:rsid w:val="00AE7987"/>
    <w:rsid w:val="00AF054E"/>
    <w:rsid w:val="00AF2878"/>
    <w:rsid w:val="00AF2B67"/>
    <w:rsid w:val="00AF3810"/>
    <w:rsid w:val="00AF4150"/>
    <w:rsid w:val="00AF4AF8"/>
    <w:rsid w:val="00AF536F"/>
    <w:rsid w:val="00AF5401"/>
    <w:rsid w:val="00AF63EE"/>
    <w:rsid w:val="00AF6827"/>
    <w:rsid w:val="00AF6B20"/>
    <w:rsid w:val="00AF746E"/>
    <w:rsid w:val="00AF7B8F"/>
    <w:rsid w:val="00B00170"/>
    <w:rsid w:val="00B00A45"/>
    <w:rsid w:val="00B0184A"/>
    <w:rsid w:val="00B024F6"/>
    <w:rsid w:val="00B02775"/>
    <w:rsid w:val="00B02825"/>
    <w:rsid w:val="00B0289A"/>
    <w:rsid w:val="00B02A51"/>
    <w:rsid w:val="00B02F23"/>
    <w:rsid w:val="00B034F0"/>
    <w:rsid w:val="00B035BB"/>
    <w:rsid w:val="00B03706"/>
    <w:rsid w:val="00B03A38"/>
    <w:rsid w:val="00B04A99"/>
    <w:rsid w:val="00B056D0"/>
    <w:rsid w:val="00B05FAA"/>
    <w:rsid w:val="00B06DCA"/>
    <w:rsid w:val="00B0755B"/>
    <w:rsid w:val="00B10352"/>
    <w:rsid w:val="00B10971"/>
    <w:rsid w:val="00B10C57"/>
    <w:rsid w:val="00B1108E"/>
    <w:rsid w:val="00B112C4"/>
    <w:rsid w:val="00B11C40"/>
    <w:rsid w:val="00B12461"/>
    <w:rsid w:val="00B143E9"/>
    <w:rsid w:val="00B15B9F"/>
    <w:rsid w:val="00B15E60"/>
    <w:rsid w:val="00B16573"/>
    <w:rsid w:val="00B16C94"/>
    <w:rsid w:val="00B201E1"/>
    <w:rsid w:val="00B2033F"/>
    <w:rsid w:val="00B20639"/>
    <w:rsid w:val="00B20A09"/>
    <w:rsid w:val="00B20A32"/>
    <w:rsid w:val="00B20C04"/>
    <w:rsid w:val="00B20FCE"/>
    <w:rsid w:val="00B21BCC"/>
    <w:rsid w:val="00B22794"/>
    <w:rsid w:val="00B22BC7"/>
    <w:rsid w:val="00B235A8"/>
    <w:rsid w:val="00B23604"/>
    <w:rsid w:val="00B23742"/>
    <w:rsid w:val="00B23868"/>
    <w:rsid w:val="00B2397E"/>
    <w:rsid w:val="00B25D0B"/>
    <w:rsid w:val="00B2624D"/>
    <w:rsid w:val="00B27312"/>
    <w:rsid w:val="00B277A1"/>
    <w:rsid w:val="00B31226"/>
    <w:rsid w:val="00B315CE"/>
    <w:rsid w:val="00B31986"/>
    <w:rsid w:val="00B320D3"/>
    <w:rsid w:val="00B32A4E"/>
    <w:rsid w:val="00B33456"/>
    <w:rsid w:val="00B33959"/>
    <w:rsid w:val="00B33B0A"/>
    <w:rsid w:val="00B33B99"/>
    <w:rsid w:val="00B33BFB"/>
    <w:rsid w:val="00B34EFC"/>
    <w:rsid w:val="00B3548F"/>
    <w:rsid w:val="00B35C86"/>
    <w:rsid w:val="00B367DE"/>
    <w:rsid w:val="00B36CA2"/>
    <w:rsid w:val="00B37467"/>
    <w:rsid w:val="00B37DCE"/>
    <w:rsid w:val="00B407D5"/>
    <w:rsid w:val="00B40D90"/>
    <w:rsid w:val="00B410AF"/>
    <w:rsid w:val="00B41736"/>
    <w:rsid w:val="00B41B5D"/>
    <w:rsid w:val="00B44698"/>
    <w:rsid w:val="00B44EA4"/>
    <w:rsid w:val="00B44FC0"/>
    <w:rsid w:val="00B454E5"/>
    <w:rsid w:val="00B45681"/>
    <w:rsid w:val="00B459DF"/>
    <w:rsid w:val="00B46552"/>
    <w:rsid w:val="00B46721"/>
    <w:rsid w:val="00B46A84"/>
    <w:rsid w:val="00B478C6"/>
    <w:rsid w:val="00B5016D"/>
    <w:rsid w:val="00B5094C"/>
    <w:rsid w:val="00B509AA"/>
    <w:rsid w:val="00B515FE"/>
    <w:rsid w:val="00B52BC8"/>
    <w:rsid w:val="00B537A6"/>
    <w:rsid w:val="00B548AA"/>
    <w:rsid w:val="00B57584"/>
    <w:rsid w:val="00B57C34"/>
    <w:rsid w:val="00B60083"/>
    <w:rsid w:val="00B60AFC"/>
    <w:rsid w:val="00B611CC"/>
    <w:rsid w:val="00B61FB5"/>
    <w:rsid w:val="00B6202E"/>
    <w:rsid w:val="00B6242A"/>
    <w:rsid w:val="00B6257F"/>
    <w:rsid w:val="00B63545"/>
    <w:rsid w:val="00B63849"/>
    <w:rsid w:val="00B6393A"/>
    <w:rsid w:val="00B63EC9"/>
    <w:rsid w:val="00B65F6E"/>
    <w:rsid w:val="00B66369"/>
    <w:rsid w:val="00B670DD"/>
    <w:rsid w:val="00B67CAF"/>
    <w:rsid w:val="00B71147"/>
    <w:rsid w:val="00B72233"/>
    <w:rsid w:val="00B72AD4"/>
    <w:rsid w:val="00B732FD"/>
    <w:rsid w:val="00B7420F"/>
    <w:rsid w:val="00B74220"/>
    <w:rsid w:val="00B74B65"/>
    <w:rsid w:val="00B7578E"/>
    <w:rsid w:val="00B7587D"/>
    <w:rsid w:val="00B7601B"/>
    <w:rsid w:val="00B76552"/>
    <w:rsid w:val="00B771DD"/>
    <w:rsid w:val="00B7724F"/>
    <w:rsid w:val="00B77CFD"/>
    <w:rsid w:val="00B77D30"/>
    <w:rsid w:val="00B800D7"/>
    <w:rsid w:val="00B80108"/>
    <w:rsid w:val="00B80845"/>
    <w:rsid w:val="00B8105F"/>
    <w:rsid w:val="00B81DE1"/>
    <w:rsid w:val="00B81EE9"/>
    <w:rsid w:val="00B828E3"/>
    <w:rsid w:val="00B829FF"/>
    <w:rsid w:val="00B82C8F"/>
    <w:rsid w:val="00B83510"/>
    <w:rsid w:val="00B8386F"/>
    <w:rsid w:val="00B83D42"/>
    <w:rsid w:val="00B83F33"/>
    <w:rsid w:val="00B841F2"/>
    <w:rsid w:val="00B866A2"/>
    <w:rsid w:val="00B86BF2"/>
    <w:rsid w:val="00B877A7"/>
    <w:rsid w:val="00B8782D"/>
    <w:rsid w:val="00B90EE8"/>
    <w:rsid w:val="00B91EF4"/>
    <w:rsid w:val="00B946DB"/>
    <w:rsid w:val="00B94CDD"/>
    <w:rsid w:val="00B94F3D"/>
    <w:rsid w:val="00B96D63"/>
    <w:rsid w:val="00BA015F"/>
    <w:rsid w:val="00BA02DF"/>
    <w:rsid w:val="00BA1444"/>
    <w:rsid w:val="00BA18E8"/>
    <w:rsid w:val="00BA1B78"/>
    <w:rsid w:val="00BA1D9F"/>
    <w:rsid w:val="00BA23BB"/>
    <w:rsid w:val="00BA282E"/>
    <w:rsid w:val="00BA2A89"/>
    <w:rsid w:val="00BA46F4"/>
    <w:rsid w:val="00BA5D76"/>
    <w:rsid w:val="00BA5E54"/>
    <w:rsid w:val="00BA7734"/>
    <w:rsid w:val="00BA7CA6"/>
    <w:rsid w:val="00BB011D"/>
    <w:rsid w:val="00BB0D90"/>
    <w:rsid w:val="00BB1A8F"/>
    <w:rsid w:val="00BB1E2E"/>
    <w:rsid w:val="00BB2397"/>
    <w:rsid w:val="00BB2CB4"/>
    <w:rsid w:val="00BB2DB8"/>
    <w:rsid w:val="00BB3048"/>
    <w:rsid w:val="00BB3826"/>
    <w:rsid w:val="00BB4343"/>
    <w:rsid w:val="00BB4663"/>
    <w:rsid w:val="00BB4815"/>
    <w:rsid w:val="00BB53AB"/>
    <w:rsid w:val="00BB6806"/>
    <w:rsid w:val="00BB7373"/>
    <w:rsid w:val="00BB77DC"/>
    <w:rsid w:val="00BB7D9D"/>
    <w:rsid w:val="00BC0B3D"/>
    <w:rsid w:val="00BC0DDB"/>
    <w:rsid w:val="00BC1A27"/>
    <w:rsid w:val="00BC1D16"/>
    <w:rsid w:val="00BC1DBF"/>
    <w:rsid w:val="00BC2858"/>
    <w:rsid w:val="00BC2FDD"/>
    <w:rsid w:val="00BC3577"/>
    <w:rsid w:val="00BC3A3C"/>
    <w:rsid w:val="00BC3ADA"/>
    <w:rsid w:val="00BC3E7B"/>
    <w:rsid w:val="00BC4436"/>
    <w:rsid w:val="00BC489F"/>
    <w:rsid w:val="00BC6720"/>
    <w:rsid w:val="00BC6AA0"/>
    <w:rsid w:val="00BC7E44"/>
    <w:rsid w:val="00BD01EF"/>
    <w:rsid w:val="00BD0C1D"/>
    <w:rsid w:val="00BD1A36"/>
    <w:rsid w:val="00BD1C81"/>
    <w:rsid w:val="00BD1EF5"/>
    <w:rsid w:val="00BD28FE"/>
    <w:rsid w:val="00BD2A8B"/>
    <w:rsid w:val="00BD3627"/>
    <w:rsid w:val="00BD4C95"/>
    <w:rsid w:val="00BD613E"/>
    <w:rsid w:val="00BD6541"/>
    <w:rsid w:val="00BD7082"/>
    <w:rsid w:val="00BD77EB"/>
    <w:rsid w:val="00BE093D"/>
    <w:rsid w:val="00BE0BF3"/>
    <w:rsid w:val="00BE0FB9"/>
    <w:rsid w:val="00BE18A3"/>
    <w:rsid w:val="00BE25AA"/>
    <w:rsid w:val="00BE2BAA"/>
    <w:rsid w:val="00BE382B"/>
    <w:rsid w:val="00BE3EA2"/>
    <w:rsid w:val="00BE425B"/>
    <w:rsid w:val="00BE478A"/>
    <w:rsid w:val="00BE47A8"/>
    <w:rsid w:val="00BE4C31"/>
    <w:rsid w:val="00BE5C3C"/>
    <w:rsid w:val="00BE6685"/>
    <w:rsid w:val="00BE6BE0"/>
    <w:rsid w:val="00BE7445"/>
    <w:rsid w:val="00BE7BBD"/>
    <w:rsid w:val="00BF00B2"/>
    <w:rsid w:val="00BF020B"/>
    <w:rsid w:val="00BF0CE5"/>
    <w:rsid w:val="00BF0FA6"/>
    <w:rsid w:val="00BF1BB3"/>
    <w:rsid w:val="00BF2562"/>
    <w:rsid w:val="00BF2EE0"/>
    <w:rsid w:val="00BF3037"/>
    <w:rsid w:val="00BF363A"/>
    <w:rsid w:val="00BF449B"/>
    <w:rsid w:val="00BF4549"/>
    <w:rsid w:val="00BF519D"/>
    <w:rsid w:val="00BF584A"/>
    <w:rsid w:val="00BF5A10"/>
    <w:rsid w:val="00BF5B54"/>
    <w:rsid w:val="00BF5FF6"/>
    <w:rsid w:val="00BF688A"/>
    <w:rsid w:val="00C00298"/>
    <w:rsid w:val="00C00967"/>
    <w:rsid w:val="00C00E30"/>
    <w:rsid w:val="00C034DA"/>
    <w:rsid w:val="00C036B7"/>
    <w:rsid w:val="00C042A4"/>
    <w:rsid w:val="00C101C0"/>
    <w:rsid w:val="00C1051E"/>
    <w:rsid w:val="00C105BD"/>
    <w:rsid w:val="00C108E0"/>
    <w:rsid w:val="00C10A7E"/>
    <w:rsid w:val="00C10D9F"/>
    <w:rsid w:val="00C1102F"/>
    <w:rsid w:val="00C116F3"/>
    <w:rsid w:val="00C11DEB"/>
    <w:rsid w:val="00C13366"/>
    <w:rsid w:val="00C135AA"/>
    <w:rsid w:val="00C13B42"/>
    <w:rsid w:val="00C13F98"/>
    <w:rsid w:val="00C14978"/>
    <w:rsid w:val="00C1687E"/>
    <w:rsid w:val="00C1712E"/>
    <w:rsid w:val="00C17206"/>
    <w:rsid w:val="00C1731A"/>
    <w:rsid w:val="00C17399"/>
    <w:rsid w:val="00C17576"/>
    <w:rsid w:val="00C17B0C"/>
    <w:rsid w:val="00C17DA1"/>
    <w:rsid w:val="00C20223"/>
    <w:rsid w:val="00C2026A"/>
    <w:rsid w:val="00C20702"/>
    <w:rsid w:val="00C213CA"/>
    <w:rsid w:val="00C22385"/>
    <w:rsid w:val="00C2257B"/>
    <w:rsid w:val="00C226A7"/>
    <w:rsid w:val="00C22DFB"/>
    <w:rsid w:val="00C23C74"/>
    <w:rsid w:val="00C24603"/>
    <w:rsid w:val="00C26C8C"/>
    <w:rsid w:val="00C304C1"/>
    <w:rsid w:val="00C30690"/>
    <w:rsid w:val="00C306E4"/>
    <w:rsid w:val="00C3091F"/>
    <w:rsid w:val="00C30956"/>
    <w:rsid w:val="00C30DB6"/>
    <w:rsid w:val="00C31A5F"/>
    <w:rsid w:val="00C340A2"/>
    <w:rsid w:val="00C341DF"/>
    <w:rsid w:val="00C34CAA"/>
    <w:rsid w:val="00C35589"/>
    <w:rsid w:val="00C36292"/>
    <w:rsid w:val="00C3632B"/>
    <w:rsid w:val="00C36CA6"/>
    <w:rsid w:val="00C40A58"/>
    <w:rsid w:val="00C40C29"/>
    <w:rsid w:val="00C40EAC"/>
    <w:rsid w:val="00C40EE3"/>
    <w:rsid w:val="00C4104A"/>
    <w:rsid w:val="00C418A0"/>
    <w:rsid w:val="00C41EE1"/>
    <w:rsid w:val="00C422F4"/>
    <w:rsid w:val="00C42856"/>
    <w:rsid w:val="00C44BFD"/>
    <w:rsid w:val="00C44D0A"/>
    <w:rsid w:val="00C4536A"/>
    <w:rsid w:val="00C454CD"/>
    <w:rsid w:val="00C458CC"/>
    <w:rsid w:val="00C45E1C"/>
    <w:rsid w:val="00C4670C"/>
    <w:rsid w:val="00C467B1"/>
    <w:rsid w:val="00C46CDD"/>
    <w:rsid w:val="00C47B5C"/>
    <w:rsid w:val="00C503B4"/>
    <w:rsid w:val="00C50C87"/>
    <w:rsid w:val="00C51153"/>
    <w:rsid w:val="00C51AC6"/>
    <w:rsid w:val="00C52020"/>
    <w:rsid w:val="00C53A5D"/>
    <w:rsid w:val="00C53AAE"/>
    <w:rsid w:val="00C54D54"/>
    <w:rsid w:val="00C562E8"/>
    <w:rsid w:val="00C56B94"/>
    <w:rsid w:val="00C579E2"/>
    <w:rsid w:val="00C57A73"/>
    <w:rsid w:val="00C57AB2"/>
    <w:rsid w:val="00C57F73"/>
    <w:rsid w:val="00C60377"/>
    <w:rsid w:val="00C608CC"/>
    <w:rsid w:val="00C625C2"/>
    <w:rsid w:val="00C62F7A"/>
    <w:rsid w:val="00C63469"/>
    <w:rsid w:val="00C64121"/>
    <w:rsid w:val="00C642EC"/>
    <w:rsid w:val="00C64596"/>
    <w:rsid w:val="00C64CD2"/>
    <w:rsid w:val="00C65000"/>
    <w:rsid w:val="00C651FA"/>
    <w:rsid w:val="00C65705"/>
    <w:rsid w:val="00C65953"/>
    <w:rsid w:val="00C65BC2"/>
    <w:rsid w:val="00C66212"/>
    <w:rsid w:val="00C67292"/>
    <w:rsid w:val="00C67932"/>
    <w:rsid w:val="00C67A10"/>
    <w:rsid w:val="00C70DDD"/>
    <w:rsid w:val="00C7247B"/>
    <w:rsid w:val="00C72D83"/>
    <w:rsid w:val="00C734AD"/>
    <w:rsid w:val="00C73AE6"/>
    <w:rsid w:val="00C74EB2"/>
    <w:rsid w:val="00C754F1"/>
    <w:rsid w:val="00C77DB0"/>
    <w:rsid w:val="00C8000F"/>
    <w:rsid w:val="00C804FC"/>
    <w:rsid w:val="00C805B5"/>
    <w:rsid w:val="00C8082A"/>
    <w:rsid w:val="00C80AF8"/>
    <w:rsid w:val="00C8133F"/>
    <w:rsid w:val="00C8325E"/>
    <w:rsid w:val="00C84D87"/>
    <w:rsid w:val="00C84E71"/>
    <w:rsid w:val="00C8513C"/>
    <w:rsid w:val="00C85D7E"/>
    <w:rsid w:val="00C86C10"/>
    <w:rsid w:val="00C86D99"/>
    <w:rsid w:val="00C873DA"/>
    <w:rsid w:val="00C879A1"/>
    <w:rsid w:val="00C90813"/>
    <w:rsid w:val="00C90DCE"/>
    <w:rsid w:val="00C91448"/>
    <w:rsid w:val="00C91577"/>
    <w:rsid w:val="00C9235E"/>
    <w:rsid w:val="00C92D23"/>
    <w:rsid w:val="00C92E04"/>
    <w:rsid w:val="00C93446"/>
    <w:rsid w:val="00C93468"/>
    <w:rsid w:val="00C94685"/>
    <w:rsid w:val="00C94B72"/>
    <w:rsid w:val="00C94EBC"/>
    <w:rsid w:val="00C96D52"/>
    <w:rsid w:val="00C96DCC"/>
    <w:rsid w:val="00CA0630"/>
    <w:rsid w:val="00CA1598"/>
    <w:rsid w:val="00CA1F34"/>
    <w:rsid w:val="00CA360B"/>
    <w:rsid w:val="00CA38B2"/>
    <w:rsid w:val="00CA3B60"/>
    <w:rsid w:val="00CA4291"/>
    <w:rsid w:val="00CA44A6"/>
    <w:rsid w:val="00CA4FA5"/>
    <w:rsid w:val="00CA5120"/>
    <w:rsid w:val="00CA6481"/>
    <w:rsid w:val="00CA6C4A"/>
    <w:rsid w:val="00CB0335"/>
    <w:rsid w:val="00CB05BD"/>
    <w:rsid w:val="00CB0706"/>
    <w:rsid w:val="00CB0D74"/>
    <w:rsid w:val="00CB2115"/>
    <w:rsid w:val="00CB21EE"/>
    <w:rsid w:val="00CB2242"/>
    <w:rsid w:val="00CB2CE1"/>
    <w:rsid w:val="00CB2E02"/>
    <w:rsid w:val="00CB3037"/>
    <w:rsid w:val="00CB4D5B"/>
    <w:rsid w:val="00CB509F"/>
    <w:rsid w:val="00CB5858"/>
    <w:rsid w:val="00CB5971"/>
    <w:rsid w:val="00CC0D30"/>
    <w:rsid w:val="00CC1147"/>
    <w:rsid w:val="00CC1A51"/>
    <w:rsid w:val="00CC2475"/>
    <w:rsid w:val="00CC25BF"/>
    <w:rsid w:val="00CC28AA"/>
    <w:rsid w:val="00CC3462"/>
    <w:rsid w:val="00CC3AAF"/>
    <w:rsid w:val="00CC455A"/>
    <w:rsid w:val="00CC4D80"/>
    <w:rsid w:val="00CC54F3"/>
    <w:rsid w:val="00CC6398"/>
    <w:rsid w:val="00CC667F"/>
    <w:rsid w:val="00CD02FE"/>
    <w:rsid w:val="00CD0340"/>
    <w:rsid w:val="00CD048B"/>
    <w:rsid w:val="00CD07F3"/>
    <w:rsid w:val="00CD09B9"/>
    <w:rsid w:val="00CD0E95"/>
    <w:rsid w:val="00CD1B22"/>
    <w:rsid w:val="00CD3BDB"/>
    <w:rsid w:val="00CD4962"/>
    <w:rsid w:val="00CD5C15"/>
    <w:rsid w:val="00CD626F"/>
    <w:rsid w:val="00CD6A3A"/>
    <w:rsid w:val="00CD75E0"/>
    <w:rsid w:val="00CD7748"/>
    <w:rsid w:val="00CE2CF9"/>
    <w:rsid w:val="00CE2EA4"/>
    <w:rsid w:val="00CE3315"/>
    <w:rsid w:val="00CE352D"/>
    <w:rsid w:val="00CE5639"/>
    <w:rsid w:val="00CE5AD3"/>
    <w:rsid w:val="00CE6F38"/>
    <w:rsid w:val="00CE775D"/>
    <w:rsid w:val="00CE78F5"/>
    <w:rsid w:val="00CE794A"/>
    <w:rsid w:val="00CE7DBF"/>
    <w:rsid w:val="00CE7DC7"/>
    <w:rsid w:val="00CF0761"/>
    <w:rsid w:val="00CF12A6"/>
    <w:rsid w:val="00CF2657"/>
    <w:rsid w:val="00CF318B"/>
    <w:rsid w:val="00CF42F3"/>
    <w:rsid w:val="00CF4F99"/>
    <w:rsid w:val="00CF5A51"/>
    <w:rsid w:val="00CF6CCD"/>
    <w:rsid w:val="00CF7058"/>
    <w:rsid w:val="00D003C5"/>
    <w:rsid w:val="00D00516"/>
    <w:rsid w:val="00D00E64"/>
    <w:rsid w:val="00D0171E"/>
    <w:rsid w:val="00D01E82"/>
    <w:rsid w:val="00D02275"/>
    <w:rsid w:val="00D02AA7"/>
    <w:rsid w:val="00D02B32"/>
    <w:rsid w:val="00D03260"/>
    <w:rsid w:val="00D0395A"/>
    <w:rsid w:val="00D03BC4"/>
    <w:rsid w:val="00D04BD0"/>
    <w:rsid w:val="00D054A5"/>
    <w:rsid w:val="00D05BDF"/>
    <w:rsid w:val="00D0616D"/>
    <w:rsid w:val="00D06652"/>
    <w:rsid w:val="00D066F7"/>
    <w:rsid w:val="00D072C1"/>
    <w:rsid w:val="00D0748A"/>
    <w:rsid w:val="00D0763D"/>
    <w:rsid w:val="00D10A49"/>
    <w:rsid w:val="00D11580"/>
    <w:rsid w:val="00D1196F"/>
    <w:rsid w:val="00D11E9D"/>
    <w:rsid w:val="00D12A54"/>
    <w:rsid w:val="00D12A84"/>
    <w:rsid w:val="00D12CDD"/>
    <w:rsid w:val="00D12EDE"/>
    <w:rsid w:val="00D132C9"/>
    <w:rsid w:val="00D139C6"/>
    <w:rsid w:val="00D13B85"/>
    <w:rsid w:val="00D13F64"/>
    <w:rsid w:val="00D143CB"/>
    <w:rsid w:val="00D154F0"/>
    <w:rsid w:val="00D156DF"/>
    <w:rsid w:val="00D159AC"/>
    <w:rsid w:val="00D16003"/>
    <w:rsid w:val="00D165A4"/>
    <w:rsid w:val="00D16F65"/>
    <w:rsid w:val="00D1711C"/>
    <w:rsid w:val="00D17BD6"/>
    <w:rsid w:val="00D20777"/>
    <w:rsid w:val="00D214AD"/>
    <w:rsid w:val="00D22D1B"/>
    <w:rsid w:val="00D237DF"/>
    <w:rsid w:val="00D2388B"/>
    <w:rsid w:val="00D24050"/>
    <w:rsid w:val="00D2452D"/>
    <w:rsid w:val="00D249BA"/>
    <w:rsid w:val="00D24B26"/>
    <w:rsid w:val="00D250D3"/>
    <w:rsid w:val="00D26451"/>
    <w:rsid w:val="00D270F6"/>
    <w:rsid w:val="00D2778A"/>
    <w:rsid w:val="00D3020C"/>
    <w:rsid w:val="00D3065E"/>
    <w:rsid w:val="00D30DEA"/>
    <w:rsid w:val="00D31666"/>
    <w:rsid w:val="00D32BF7"/>
    <w:rsid w:val="00D34769"/>
    <w:rsid w:val="00D347FF"/>
    <w:rsid w:val="00D34A7B"/>
    <w:rsid w:val="00D34B62"/>
    <w:rsid w:val="00D35B79"/>
    <w:rsid w:val="00D35CEA"/>
    <w:rsid w:val="00D3699F"/>
    <w:rsid w:val="00D36DD3"/>
    <w:rsid w:val="00D40251"/>
    <w:rsid w:val="00D40301"/>
    <w:rsid w:val="00D40446"/>
    <w:rsid w:val="00D40BEC"/>
    <w:rsid w:val="00D415F6"/>
    <w:rsid w:val="00D423E4"/>
    <w:rsid w:val="00D42481"/>
    <w:rsid w:val="00D42AA0"/>
    <w:rsid w:val="00D42D70"/>
    <w:rsid w:val="00D4326B"/>
    <w:rsid w:val="00D43671"/>
    <w:rsid w:val="00D453A5"/>
    <w:rsid w:val="00D463A0"/>
    <w:rsid w:val="00D4662F"/>
    <w:rsid w:val="00D46882"/>
    <w:rsid w:val="00D46911"/>
    <w:rsid w:val="00D4696F"/>
    <w:rsid w:val="00D471CC"/>
    <w:rsid w:val="00D477CA"/>
    <w:rsid w:val="00D5098B"/>
    <w:rsid w:val="00D50BD6"/>
    <w:rsid w:val="00D51EE2"/>
    <w:rsid w:val="00D520D6"/>
    <w:rsid w:val="00D52BE2"/>
    <w:rsid w:val="00D53950"/>
    <w:rsid w:val="00D53E43"/>
    <w:rsid w:val="00D546AC"/>
    <w:rsid w:val="00D5479D"/>
    <w:rsid w:val="00D548D9"/>
    <w:rsid w:val="00D54A07"/>
    <w:rsid w:val="00D56C9D"/>
    <w:rsid w:val="00D575D6"/>
    <w:rsid w:val="00D57618"/>
    <w:rsid w:val="00D57737"/>
    <w:rsid w:val="00D57B7F"/>
    <w:rsid w:val="00D600BA"/>
    <w:rsid w:val="00D600CF"/>
    <w:rsid w:val="00D6118E"/>
    <w:rsid w:val="00D6166C"/>
    <w:rsid w:val="00D6186E"/>
    <w:rsid w:val="00D61F04"/>
    <w:rsid w:val="00D626B9"/>
    <w:rsid w:val="00D62B0A"/>
    <w:rsid w:val="00D63615"/>
    <w:rsid w:val="00D63BA6"/>
    <w:rsid w:val="00D63F0B"/>
    <w:rsid w:val="00D660D4"/>
    <w:rsid w:val="00D66790"/>
    <w:rsid w:val="00D668C4"/>
    <w:rsid w:val="00D6692C"/>
    <w:rsid w:val="00D66CBD"/>
    <w:rsid w:val="00D672B0"/>
    <w:rsid w:val="00D6769E"/>
    <w:rsid w:val="00D676B3"/>
    <w:rsid w:val="00D67757"/>
    <w:rsid w:val="00D7029F"/>
    <w:rsid w:val="00D70770"/>
    <w:rsid w:val="00D713F3"/>
    <w:rsid w:val="00D71412"/>
    <w:rsid w:val="00D71716"/>
    <w:rsid w:val="00D71CFB"/>
    <w:rsid w:val="00D73DCD"/>
    <w:rsid w:val="00D74093"/>
    <w:rsid w:val="00D741C8"/>
    <w:rsid w:val="00D75098"/>
    <w:rsid w:val="00D756B1"/>
    <w:rsid w:val="00D759D8"/>
    <w:rsid w:val="00D75F82"/>
    <w:rsid w:val="00D760B9"/>
    <w:rsid w:val="00D76624"/>
    <w:rsid w:val="00D768A5"/>
    <w:rsid w:val="00D76A0F"/>
    <w:rsid w:val="00D77536"/>
    <w:rsid w:val="00D80048"/>
    <w:rsid w:val="00D80D4D"/>
    <w:rsid w:val="00D81319"/>
    <w:rsid w:val="00D818F8"/>
    <w:rsid w:val="00D81FE7"/>
    <w:rsid w:val="00D82716"/>
    <w:rsid w:val="00D82771"/>
    <w:rsid w:val="00D838A0"/>
    <w:rsid w:val="00D84784"/>
    <w:rsid w:val="00D85443"/>
    <w:rsid w:val="00D856A9"/>
    <w:rsid w:val="00D85B54"/>
    <w:rsid w:val="00D861A3"/>
    <w:rsid w:val="00D863E2"/>
    <w:rsid w:val="00D86674"/>
    <w:rsid w:val="00D87A7E"/>
    <w:rsid w:val="00D87B4A"/>
    <w:rsid w:val="00D91148"/>
    <w:rsid w:val="00D91D07"/>
    <w:rsid w:val="00D9248B"/>
    <w:rsid w:val="00D926D4"/>
    <w:rsid w:val="00D92A5F"/>
    <w:rsid w:val="00D943F5"/>
    <w:rsid w:val="00D96D6D"/>
    <w:rsid w:val="00D96E2F"/>
    <w:rsid w:val="00D97E1B"/>
    <w:rsid w:val="00DA01D3"/>
    <w:rsid w:val="00DA0ED7"/>
    <w:rsid w:val="00DA13F2"/>
    <w:rsid w:val="00DA16BF"/>
    <w:rsid w:val="00DA1B8B"/>
    <w:rsid w:val="00DA27AA"/>
    <w:rsid w:val="00DA32A5"/>
    <w:rsid w:val="00DA34D0"/>
    <w:rsid w:val="00DA3BFF"/>
    <w:rsid w:val="00DA463A"/>
    <w:rsid w:val="00DA4C15"/>
    <w:rsid w:val="00DA50C6"/>
    <w:rsid w:val="00DA54B6"/>
    <w:rsid w:val="00DA5A0E"/>
    <w:rsid w:val="00DA6787"/>
    <w:rsid w:val="00DA6FD1"/>
    <w:rsid w:val="00DA7426"/>
    <w:rsid w:val="00DA78CF"/>
    <w:rsid w:val="00DB02A8"/>
    <w:rsid w:val="00DB0949"/>
    <w:rsid w:val="00DB09D4"/>
    <w:rsid w:val="00DB1860"/>
    <w:rsid w:val="00DB2545"/>
    <w:rsid w:val="00DB28C7"/>
    <w:rsid w:val="00DB2F44"/>
    <w:rsid w:val="00DB386A"/>
    <w:rsid w:val="00DB3FEC"/>
    <w:rsid w:val="00DB4AE4"/>
    <w:rsid w:val="00DB51B0"/>
    <w:rsid w:val="00DB54B0"/>
    <w:rsid w:val="00DB684D"/>
    <w:rsid w:val="00DB6A80"/>
    <w:rsid w:val="00DB6FF7"/>
    <w:rsid w:val="00DB77D5"/>
    <w:rsid w:val="00DB7A10"/>
    <w:rsid w:val="00DC0B79"/>
    <w:rsid w:val="00DC1622"/>
    <w:rsid w:val="00DC1741"/>
    <w:rsid w:val="00DC1777"/>
    <w:rsid w:val="00DC1A8F"/>
    <w:rsid w:val="00DC2169"/>
    <w:rsid w:val="00DC2184"/>
    <w:rsid w:val="00DC21D1"/>
    <w:rsid w:val="00DC2747"/>
    <w:rsid w:val="00DC5411"/>
    <w:rsid w:val="00DC659F"/>
    <w:rsid w:val="00DD02FF"/>
    <w:rsid w:val="00DD0803"/>
    <w:rsid w:val="00DD148E"/>
    <w:rsid w:val="00DD1AB0"/>
    <w:rsid w:val="00DD1B34"/>
    <w:rsid w:val="00DD1E39"/>
    <w:rsid w:val="00DD26C1"/>
    <w:rsid w:val="00DD28D7"/>
    <w:rsid w:val="00DD2FFA"/>
    <w:rsid w:val="00DD3D75"/>
    <w:rsid w:val="00DD433E"/>
    <w:rsid w:val="00DD4747"/>
    <w:rsid w:val="00DD51AC"/>
    <w:rsid w:val="00DD5A45"/>
    <w:rsid w:val="00DD64C4"/>
    <w:rsid w:val="00DD6B8F"/>
    <w:rsid w:val="00DD6D7F"/>
    <w:rsid w:val="00DD7413"/>
    <w:rsid w:val="00DE031B"/>
    <w:rsid w:val="00DE0B49"/>
    <w:rsid w:val="00DE1DFD"/>
    <w:rsid w:val="00DE1E87"/>
    <w:rsid w:val="00DE24A7"/>
    <w:rsid w:val="00DE252B"/>
    <w:rsid w:val="00DE34A8"/>
    <w:rsid w:val="00DE3988"/>
    <w:rsid w:val="00DE399A"/>
    <w:rsid w:val="00DE4F07"/>
    <w:rsid w:val="00DE52E0"/>
    <w:rsid w:val="00DE5982"/>
    <w:rsid w:val="00DF0969"/>
    <w:rsid w:val="00DF0B34"/>
    <w:rsid w:val="00DF1150"/>
    <w:rsid w:val="00DF1CB7"/>
    <w:rsid w:val="00DF21D5"/>
    <w:rsid w:val="00DF2983"/>
    <w:rsid w:val="00DF300F"/>
    <w:rsid w:val="00DF3108"/>
    <w:rsid w:val="00DF359C"/>
    <w:rsid w:val="00DF388C"/>
    <w:rsid w:val="00DF3B5D"/>
    <w:rsid w:val="00DF5957"/>
    <w:rsid w:val="00DF5F00"/>
    <w:rsid w:val="00DF5FFE"/>
    <w:rsid w:val="00DF6B67"/>
    <w:rsid w:val="00DF70B5"/>
    <w:rsid w:val="00DF749C"/>
    <w:rsid w:val="00DF752B"/>
    <w:rsid w:val="00DF761E"/>
    <w:rsid w:val="00DF78CD"/>
    <w:rsid w:val="00DF7D65"/>
    <w:rsid w:val="00E00AE8"/>
    <w:rsid w:val="00E02B17"/>
    <w:rsid w:val="00E031A2"/>
    <w:rsid w:val="00E03581"/>
    <w:rsid w:val="00E03D1E"/>
    <w:rsid w:val="00E049DF"/>
    <w:rsid w:val="00E05036"/>
    <w:rsid w:val="00E05151"/>
    <w:rsid w:val="00E0531A"/>
    <w:rsid w:val="00E05D7C"/>
    <w:rsid w:val="00E05F38"/>
    <w:rsid w:val="00E075C0"/>
    <w:rsid w:val="00E1010A"/>
    <w:rsid w:val="00E10E78"/>
    <w:rsid w:val="00E116C3"/>
    <w:rsid w:val="00E116FC"/>
    <w:rsid w:val="00E11B28"/>
    <w:rsid w:val="00E11F44"/>
    <w:rsid w:val="00E12269"/>
    <w:rsid w:val="00E139FC"/>
    <w:rsid w:val="00E13AF0"/>
    <w:rsid w:val="00E1450C"/>
    <w:rsid w:val="00E153BD"/>
    <w:rsid w:val="00E15FCB"/>
    <w:rsid w:val="00E163BE"/>
    <w:rsid w:val="00E16720"/>
    <w:rsid w:val="00E167EC"/>
    <w:rsid w:val="00E16E2A"/>
    <w:rsid w:val="00E17A4C"/>
    <w:rsid w:val="00E17C6D"/>
    <w:rsid w:val="00E208C7"/>
    <w:rsid w:val="00E20BD4"/>
    <w:rsid w:val="00E221D0"/>
    <w:rsid w:val="00E22B5E"/>
    <w:rsid w:val="00E2304D"/>
    <w:rsid w:val="00E239B3"/>
    <w:rsid w:val="00E23D26"/>
    <w:rsid w:val="00E2487A"/>
    <w:rsid w:val="00E24C61"/>
    <w:rsid w:val="00E262BD"/>
    <w:rsid w:val="00E27F2E"/>
    <w:rsid w:val="00E3022D"/>
    <w:rsid w:val="00E30572"/>
    <w:rsid w:val="00E305E7"/>
    <w:rsid w:val="00E30AB7"/>
    <w:rsid w:val="00E31126"/>
    <w:rsid w:val="00E31702"/>
    <w:rsid w:val="00E326A6"/>
    <w:rsid w:val="00E32ECE"/>
    <w:rsid w:val="00E3340C"/>
    <w:rsid w:val="00E33A5B"/>
    <w:rsid w:val="00E33D83"/>
    <w:rsid w:val="00E3423A"/>
    <w:rsid w:val="00E364C7"/>
    <w:rsid w:val="00E366D9"/>
    <w:rsid w:val="00E36730"/>
    <w:rsid w:val="00E368DE"/>
    <w:rsid w:val="00E37688"/>
    <w:rsid w:val="00E37A31"/>
    <w:rsid w:val="00E40B00"/>
    <w:rsid w:val="00E41570"/>
    <w:rsid w:val="00E417CA"/>
    <w:rsid w:val="00E42139"/>
    <w:rsid w:val="00E43031"/>
    <w:rsid w:val="00E433CC"/>
    <w:rsid w:val="00E439ED"/>
    <w:rsid w:val="00E43BE1"/>
    <w:rsid w:val="00E443AE"/>
    <w:rsid w:val="00E443BC"/>
    <w:rsid w:val="00E4489C"/>
    <w:rsid w:val="00E4547E"/>
    <w:rsid w:val="00E45553"/>
    <w:rsid w:val="00E458DD"/>
    <w:rsid w:val="00E46BCD"/>
    <w:rsid w:val="00E47854"/>
    <w:rsid w:val="00E47B6A"/>
    <w:rsid w:val="00E47D30"/>
    <w:rsid w:val="00E5238A"/>
    <w:rsid w:val="00E52762"/>
    <w:rsid w:val="00E54338"/>
    <w:rsid w:val="00E54612"/>
    <w:rsid w:val="00E54DAE"/>
    <w:rsid w:val="00E55416"/>
    <w:rsid w:val="00E55E0D"/>
    <w:rsid w:val="00E56102"/>
    <w:rsid w:val="00E56668"/>
    <w:rsid w:val="00E572B0"/>
    <w:rsid w:val="00E6024C"/>
    <w:rsid w:val="00E61255"/>
    <w:rsid w:val="00E616AA"/>
    <w:rsid w:val="00E618B4"/>
    <w:rsid w:val="00E62EBE"/>
    <w:rsid w:val="00E634D2"/>
    <w:rsid w:val="00E63515"/>
    <w:rsid w:val="00E63B10"/>
    <w:rsid w:val="00E646A2"/>
    <w:rsid w:val="00E651DA"/>
    <w:rsid w:val="00E652BE"/>
    <w:rsid w:val="00E65784"/>
    <w:rsid w:val="00E65BFD"/>
    <w:rsid w:val="00E65FB9"/>
    <w:rsid w:val="00E672C8"/>
    <w:rsid w:val="00E67562"/>
    <w:rsid w:val="00E67F52"/>
    <w:rsid w:val="00E70C1E"/>
    <w:rsid w:val="00E70D6A"/>
    <w:rsid w:val="00E711C2"/>
    <w:rsid w:val="00E715A1"/>
    <w:rsid w:val="00E71DC5"/>
    <w:rsid w:val="00E71F47"/>
    <w:rsid w:val="00E7272D"/>
    <w:rsid w:val="00E7293B"/>
    <w:rsid w:val="00E7584D"/>
    <w:rsid w:val="00E75D3F"/>
    <w:rsid w:val="00E76D0A"/>
    <w:rsid w:val="00E77D4A"/>
    <w:rsid w:val="00E80F1B"/>
    <w:rsid w:val="00E822B0"/>
    <w:rsid w:val="00E836A2"/>
    <w:rsid w:val="00E843E1"/>
    <w:rsid w:val="00E84A26"/>
    <w:rsid w:val="00E870D3"/>
    <w:rsid w:val="00E871F9"/>
    <w:rsid w:val="00E876BE"/>
    <w:rsid w:val="00E90519"/>
    <w:rsid w:val="00E915C3"/>
    <w:rsid w:val="00E91B39"/>
    <w:rsid w:val="00E9280D"/>
    <w:rsid w:val="00E93D58"/>
    <w:rsid w:val="00E947E4"/>
    <w:rsid w:val="00E95447"/>
    <w:rsid w:val="00E954B9"/>
    <w:rsid w:val="00E9620C"/>
    <w:rsid w:val="00E96D1C"/>
    <w:rsid w:val="00E97C11"/>
    <w:rsid w:val="00EA03DA"/>
    <w:rsid w:val="00EA0C47"/>
    <w:rsid w:val="00EA17A5"/>
    <w:rsid w:val="00EA185F"/>
    <w:rsid w:val="00EA1953"/>
    <w:rsid w:val="00EA3C1B"/>
    <w:rsid w:val="00EA3DF1"/>
    <w:rsid w:val="00EA40EF"/>
    <w:rsid w:val="00EA47F4"/>
    <w:rsid w:val="00EA4B14"/>
    <w:rsid w:val="00EA610F"/>
    <w:rsid w:val="00EA6BD7"/>
    <w:rsid w:val="00EA72FB"/>
    <w:rsid w:val="00EA7456"/>
    <w:rsid w:val="00EA75F1"/>
    <w:rsid w:val="00EA7DCC"/>
    <w:rsid w:val="00EB0CE9"/>
    <w:rsid w:val="00EB1130"/>
    <w:rsid w:val="00EB180C"/>
    <w:rsid w:val="00EB1D3A"/>
    <w:rsid w:val="00EB2634"/>
    <w:rsid w:val="00EB2BB7"/>
    <w:rsid w:val="00EB301D"/>
    <w:rsid w:val="00EB3257"/>
    <w:rsid w:val="00EB34B4"/>
    <w:rsid w:val="00EB37EC"/>
    <w:rsid w:val="00EB417E"/>
    <w:rsid w:val="00EB44BD"/>
    <w:rsid w:val="00EB4513"/>
    <w:rsid w:val="00EB6599"/>
    <w:rsid w:val="00EB6871"/>
    <w:rsid w:val="00EB6B47"/>
    <w:rsid w:val="00EC05F2"/>
    <w:rsid w:val="00EC0808"/>
    <w:rsid w:val="00EC0DD2"/>
    <w:rsid w:val="00EC15C0"/>
    <w:rsid w:val="00EC1615"/>
    <w:rsid w:val="00EC1B28"/>
    <w:rsid w:val="00EC228C"/>
    <w:rsid w:val="00EC241F"/>
    <w:rsid w:val="00EC3205"/>
    <w:rsid w:val="00EC3F94"/>
    <w:rsid w:val="00EC454C"/>
    <w:rsid w:val="00EC575A"/>
    <w:rsid w:val="00EC58AB"/>
    <w:rsid w:val="00ED140C"/>
    <w:rsid w:val="00ED1B56"/>
    <w:rsid w:val="00ED2CF7"/>
    <w:rsid w:val="00ED3596"/>
    <w:rsid w:val="00ED3F7B"/>
    <w:rsid w:val="00ED55FB"/>
    <w:rsid w:val="00ED70E2"/>
    <w:rsid w:val="00ED75F9"/>
    <w:rsid w:val="00ED7735"/>
    <w:rsid w:val="00ED7A9F"/>
    <w:rsid w:val="00EE0401"/>
    <w:rsid w:val="00EE0E0D"/>
    <w:rsid w:val="00EE14EA"/>
    <w:rsid w:val="00EE19C1"/>
    <w:rsid w:val="00EE1ACF"/>
    <w:rsid w:val="00EE1B9D"/>
    <w:rsid w:val="00EE1C2C"/>
    <w:rsid w:val="00EE20BA"/>
    <w:rsid w:val="00EE25BB"/>
    <w:rsid w:val="00EE2A7B"/>
    <w:rsid w:val="00EE4201"/>
    <w:rsid w:val="00EE46A1"/>
    <w:rsid w:val="00EE4AD1"/>
    <w:rsid w:val="00EE5023"/>
    <w:rsid w:val="00EE51E0"/>
    <w:rsid w:val="00EE62E9"/>
    <w:rsid w:val="00EE659A"/>
    <w:rsid w:val="00EE660C"/>
    <w:rsid w:val="00EE6DE0"/>
    <w:rsid w:val="00EE7060"/>
    <w:rsid w:val="00EE7817"/>
    <w:rsid w:val="00EF029C"/>
    <w:rsid w:val="00EF11AE"/>
    <w:rsid w:val="00EF1DBF"/>
    <w:rsid w:val="00EF2951"/>
    <w:rsid w:val="00EF4C53"/>
    <w:rsid w:val="00EF586A"/>
    <w:rsid w:val="00EF67D2"/>
    <w:rsid w:val="00EF782F"/>
    <w:rsid w:val="00F0103C"/>
    <w:rsid w:val="00F01242"/>
    <w:rsid w:val="00F0223A"/>
    <w:rsid w:val="00F02ECB"/>
    <w:rsid w:val="00F02FC8"/>
    <w:rsid w:val="00F03309"/>
    <w:rsid w:val="00F04230"/>
    <w:rsid w:val="00F0427B"/>
    <w:rsid w:val="00F04988"/>
    <w:rsid w:val="00F04B96"/>
    <w:rsid w:val="00F04F5A"/>
    <w:rsid w:val="00F04F90"/>
    <w:rsid w:val="00F06282"/>
    <w:rsid w:val="00F06300"/>
    <w:rsid w:val="00F0657D"/>
    <w:rsid w:val="00F072A9"/>
    <w:rsid w:val="00F075D5"/>
    <w:rsid w:val="00F10139"/>
    <w:rsid w:val="00F1188C"/>
    <w:rsid w:val="00F11A7B"/>
    <w:rsid w:val="00F137F2"/>
    <w:rsid w:val="00F13BA2"/>
    <w:rsid w:val="00F13DC9"/>
    <w:rsid w:val="00F14B57"/>
    <w:rsid w:val="00F15B4A"/>
    <w:rsid w:val="00F1610F"/>
    <w:rsid w:val="00F16917"/>
    <w:rsid w:val="00F16B22"/>
    <w:rsid w:val="00F16E41"/>
    <w:rsid w:val="00F1785F"/>
    <w:rsid w:val="00F17B65"/>
    <w:rsid w:val="00F2032C"/>
    <w:rsid w:val="00F21166"/>
    <w:rsid w:val="00F22F64"/>
    <w:rsid w:val="00F22F73"/>
    <w:rsid w:val="00F23043"/>
    <w:rsid w:val="00F23FA0"/>
    <w:rsid w:val="00F24121"/>
    <w:rsid w:val="00F24693"/>
    <w:rsid w:val="00F248E3"/>
    <w:rsid w:val="00F2494B"/>
    <w:rsid w:val="00F2520D"/>
    <w:rsid w:val="00F258A3"/>
    <w:rsid w:val="00F25CF7"/>
    <w:rsid w:val="00F274CE"/>
    <w:rsid w:val="00F27C4C"/>
    <w:rsid w:val="00F300EF"/>
    <w:rsid w:val="00F304C5"/>
    <w:rsid w:val="00F30C7E"/>
    <w:rsid w:val="00F31B20"/>
    <w:rsid w:val="00F32208"/>
    <w:rsid w:val="00F32675"/>
    <w:rsid w:val="00F33009"/>
    <w:rsid w:val="00F35CD5"/>
    <w:rsid w:val="00F364CA"/>
    <w:rsid w:val="00F36ED6"/>
    <w:rsid w:val="00F37472"/>
    <w:rsid w:val="00F37A57"/>
    <w:rsid w:val="00F41F06"/>
    <w:rsid w:val="00F423B5"/>
    <w:rsid w:val="00F42553"/>
    <w:rsid w:val="00F434A2"/>
    <w:rsid w:val="00F43952"/>
    <w:rsid w:val="00F43B3F"/>
    <w:rsid w:val="00F449D3"/>
    <w:rsid w:val="00F44B92"/>
    <w:rsid w:val="00F44D84"/>
    <w:rsid w:val="00F44F1D"/>
    <w:rsid w:val="00F45DDB"/>
    <w:rsid w:val="00F45EE5"/>
    <w:rsid w:val="00F464AD"/>
    <w:rsid w:val="00F46F80"/>
    <w:rsid w:val="00F50141"/>
    <w:rsid w:val="00F521B1"/>
    <w:rsid w:val="00F52BD9"/>
    <w:rsid w:val="00F52D51"/>
    <w:rsid w:val="00F53A37"/>
    <w:rsid w:val="00F54059"/>
    <w:rsid w:val="00F54C1A"/>
    <w:rsid w:val="00F55609"/>
    <w:rsid w:val="00F559F5"/>
    <w:rsid w:val="00F5696D"/>
    <w:rsid w:val="00F56F97"/>
    <w:rsid w:val="00F576F6"/>
    <w:rsid w:val="00F57F1E"/>
    <w:rsid w:val="00F602E7"/>
    <w:rsid w:val="00F606A7"/>
    <w:rsid w:val="00F60958"/>
    <w:rsid w:val="00F609DF"/>
    <w:rsid w:val="00F60FF9"/>
    <w:rsid w:val="00F61FDD"/>
    <w:rsid w:val="00F623CE"/>
    <w:rsid w:val="00F62B5F"/>
    <w:rsid w:val="00F62F30"/>
    <w:rsid w:val="00F638A6"/>
    <w:rsid w:val="00F63C53"/>
    <w:rsid w:val="00F63C8A"/>
    <w:rsid w:val="00F648E3"/>
    <w:rsid w:val="00F649B8"/>
    <w:rsid w:val="00F65617"/>
    <w:rsid w:val="00F6592D"/>
    <w:rsid w:val="00F65EA9"/>
    <w:rsid w:val="00F66768"/>
    <w:rsid w:val="00F66D20"/>
    <w:rsid w:val="00F66E64"/>
    <w:rsid w:val="00F6702E"/>
    <w:rsid w:val="00F6706E"/>
    <w:rsid w:val="00F67072"/>
    <w:rsid w:val="00F67EC4"/>
    <w:rsid w:val="00F70ABF"/>
    <w:rsid w:val="00F70BCC"/>
    <w:rsid w:val="00F71086"/>
    <w:rsid w:val="00F71708"/>
    <w:rsid w:val="00F72121"/>
    <w:rsid w:val="00F72A3C"/>
    <w:rsid w:val="00F73147"/>
    <w:rsid w:val="00F753EC"/>
    <w:rsid w:val="00F807B5"/>
    <w:rsid w:val="00F810FA"/>
    <w:rsid w:val="00F824EE"/>
    <w:rsid w:val="00F82B57"/>
    <w:rsid w:val="00F82FCC"/>
    <w:rsid w:val="00F837D0"/>
    <w:rsid w:val="00F84432"/>
    <w:rsid w:val="00F85082"/>
    <w:rsid w:val="00F85423"/>
    <w:rsid w:val="00F859E1"/>
    <w:rsid w:val="00F860E7"/>
    <w:rsid w:val="00F879EC"/>
    <w:rsid w:val="00F87CE1"/>
    <w:rsid w:val="00F92905"/>
    <w:rsid w:val="00F92A22"/>
    <w:rsid w:val="00F9391D"/>
    <w:rsid w:val="00F94E2E"/>
    <w:rsid w:val="00F9504D"/>
    <w:rsid w:val="00F95F9F"/>
    <w:rsid w:val="00F96893"/>
    <w:rsid w:val="00F97B20"/>
    <w:rsid w:val="00F97F31"/>
    <w:rsid w:val="00FA1C70"/>
    <w:rsid w:val="00FA3536"/>
    <w:rsid w:val="00FA3A57"/>
    <w:rsid w:val="00FA3C31"/>
    <w:rsid w:val="00FA3E29"/>
    <w:rsid w:val="00FA3F47"/>
    <w:rsid w:val="00FA4F6F"/>
    <w:rsid w:val="00FA5AE1"/>
    <w:rsid w:val="00FA623D"/>
    <w:rsid w:val="00FA6386"/>
    <w:rsid w:val="00FA6A3C"/>
    <w:rsid w:val="00FA7146"/>
    <w:rsid w:val="00FA7671"/>
    <w:rsid w:val="00FA7806"/>
    <w:rsid w:val="00FB1386"/>
    <w:rsid w:val="00FB18DF"/>
    <w:rsid w:val="00FB19B1"/>
    <w:rsid w:val="00FB1FF5"/>
    <w:rsid w:val="00FB3A02"/>
    <w:rsid w:val="00FB3E84"/>
    <w:rsid w:val="00FB4514"/>
    <w:rsid w:val="00FB5413"/>
    <w:rsid w:val="00FB581B"/>
    <w:rsid w:val="00FB6591"/>
    <w:rsid w:val="00FB6A47"/>
    <w:rsid w:val="00FB708B"/>
    <w:rsid w:val="00FB73E4"/>
    <w:rsid w:val="00FB7414"/>
    <w:rsid w:val="00FB7689"/>
    <w:rsid w:val="00FB7C42"/>
    <w:rsid w:val="00FC09A8"/>
    <w:rsid w:val="00FC19A0"/>
    <w:rsid w:val="00FC1CAB"/>
    <w:rsid w:val="00FC2B78"/>
    <w:rsid w:val="00FC3F22"/>
    <w:rsid w:val="00FC4357"/>
    <w:rsid w:val="00FC55CB"/>
    <w:rsid w:val="00FC5A9A"/>
    <w:rsid w:val="00FC5CC2"/>
    <w:rsid w:val="00FC738F"/>
    <w:rsid w:val="00FD058B"/>
    <w:rsid w:val="00FD1748"/>
    <w:rsid w:val="00FD1FAF"/>
    <w:rsid w:val="00FD2063"/>
    <w:rsid w:val="00FD2501"/>
    <w:rsid w:val="00FD326E"/>
    <w:rsid w:val="00FD4518"/>
    <w:rsid w:val="00FD4770"/>
    <w:rsid w:val="00FD51B1"/>
    <w:rsid w:val="00FD5820"/>
    <w:rsid w:val="00FD5D91"/>
    <w:rsid w:val="00FD67D0"/>
    <w:rsid w:val="00FD7BE3"/>
    <w:rsid w:val="00FD7DDE"/>
    <w:rsid w:val="00FD7FFC"/>
    <w:rsid w:val="00FE06F1"/>
    <w:rsid w:val="00FE124A"/>
    <w:rsid w:val="00FE1E7E"/>
    <w:rsid w:val="00FE2619"/>
    <w:rsid w:val="00FE33A1"/>
    <w:rsid w:val="00FE3492"/>
    <w:rsid w:val="00FE357C"/>
    <w:rsid w:val="00FE5099"/>
    <w:rsid w:val="00FE54EA"/>
    <w:rsid w:val="00FE7D6C"/>
    <w:rsid w:val="00FF02A9"/>
    <w:rsid w:val="00FF03C1"/>
    <w:rsid w:val="00FF05A2"/>
    <w:rsid w:val="00FF1279"/>
    <w:rsid w:val="00FF139C"/>
    <w:rsid w:val="00FF1858"/>
    <w:rsid w:val="00FF1B35"/>
    <w:rsid w:val="00FF1BEE"/>
    <w:rsid w:val="00FF23AF"/>
    <w:rsid w:val="00FF30BC"/>
    <w:rsid w:val="00FF3AAA"/>
    <w:rsid w:val="00FF3EE4"/>
    <w:rsid w:val="00FF56F1"/>
    <w:rsid w:val="00FF5BC2"/>
    <w:rsid w:val="00FF6943"/>
    <w:rsid w:val="00FF70BF"/>
    <w:rsid w:val="00FF7943"/>
    <w:rsid w:val="013E2C0E"/>
    <w:rsid w:val="01BE2C32"/>
    <w:rsid w:val="01D76423"/>
    <w:rsid w:val="01DFD674"/>
    <w:rsid w:val="021A206F"/>
    <w:rsid w:val="022E1BAF"/>
    <w:rsid w:val="022F045D"/>
    <w:rsid w:val="02E7986A"/>
    <w:rsid w:val="0314514F"/>
    <w:rsid w:val="03B1AC61"/>
    <w:rsid w:val="05309F93"/>
    <w:rsid w:val="0551C131"/>
    <w:rsid w:val="0572A12A"/>
    <w:rsid w:val="05984999"/>
    <w:rsid w:val="061F9214"/>
    <w:rsid w:val="0695BF7F"/>
    <w:rsid w:val="07148496"/>
    <w:rsid w:val="073ABE48"/>
    <w:rsid w:val="0752398A"/>
    <w:rsid w:val="077C32D5"/>
    <w:rsid w:val="07A8D0F2"/>
    <w:rsid w:val="07AE2BA6"/>
    <w:rsid w:val="088B9D01"/>
    <w:rsid w:val="08981B08"/>
    <w:rsid w:val="08E1DB1E"/>
    <w:rsid w:val="090EE1F6"/>
    <w:rsid w:val="09298981"/>
    <w:rsid w:val="093BF39D"/>
    <w:rsid w:val="0942A3D3"/>
    <w:rsid w:val="0A4CBEF5"/>
    <w:rsid w:val="0B19D035"/>
    <w:rsid w:val="0B3693CA"/>
    <w:rsid w:val="0B782692"/>
    <w:rsid w:val="0C19CDEC"/>
    <w:rsid w:val="0CDD5BAD"/>
    <w:rsid w:val="0D18AD4E"/>
    <w:rsid w:val="0D5C9E27"/>
    <w:rsid w:val="0D6EE2CE"/>
    <w:rsid w:val="0E62663A"/>
    <w:rsid w:val="10963822"/>
    <w:rsid w:val="10A957C6"/>
    <w:rsid w:val="11029CED"/>
    <w:rsid w:val="11107DC5"/>
    <w:rsid w:val="11806699"/>
    <w:rsid w:val="11A31D41"/>
    <w:rsid w:val="12292B94"/>
    <w:rsid w:val="130196A0"/>
    <w:rsid w:val="13263AB5"/>
    <w:rsid w:val="136AC205"/>
    <w:rsid w:val="13D7C1CF"/>
    <w:rsid w:val="14CAB752"/>
    <w:rsid w:val="1522B5E8"/>
    <w:rsid w:val="1556AA24"/>
    <w:rsid w:val="157013EB"/>
    <w:rsid w:val="1592849D"/>
    <w:rsid w:val="163B3FEE"/>
    <w:rsid w:val="16AE1BB0"/>
    <w:rsid w:val="16C5C26D"/>
    <w:rsid w:val="16C9C5FC"/>
    <w:rsid w:val="16EA8CFF"/>
    <w:rsid w:val="1757CBE5"/>
    <w:rsid w:val="178ACD44"/>
    <w:rsid w:val="178AED9E"/>
    <w:rsid w:val="17F52C1E"/>
    <w:rsid w:val="189B89AE"/>
    <w:rsid w:val="18B6666C"/>
    <w:rsid w:val="18C3AA8D"/>
    <w:rsid w:val="18FCD8A2"/>
    <w:rsid w:val="1942C0A9"/>
    <w:rsid w:val="194F0967"/>
    <w:rsid w:val="1990FC7F"/>
    <w:rsid w:val="1B11AC45"/>
    <w:rsid w:val="1BC5EBA8"/>
    <w:rsid w:val="1BFC5328"/>
    <w:rsid w:val="1C1B5107"/>
    <w:rsid w:val="1C37C3B3"/>
    <w:rsid w:val="1C7954EC"/>
    <w:rsid w:val="1CB41CD7"/>
    <w:rsid w:val="1D112021"/>
    <w:rsid w:val="1D126D58"/>
    <w:rsid w:val="1D2C6D66"/>
    <w:rsid w:val="1D80D165"/>
    <w:rsid w:val="1DD32E91"/>
    <w:rsid w:val="1DE32A8E"/>
    <w:rsid w:val="1DF163A8"/>
    <w:rsid w:val="1DF7AC3B"/>
    <w:rsid w:val="1E565146"/>
    <w:rsid w:val="1E77500D"/>
    <w:rsid w:val="1E821FA8"/>
    <w:rsid w:val="1EAA48DD"/>
    <w:rsid w:val="1F1DCCF4"/>
    <w:rsid w:val="1FE52B01"/>
    <w:rsid w:val="202E1B5D"/>
    <w:rsid w:val="2075833E"/>
    <w:rsid w:val="209ABB73"/>
    <w:rsid w:val="20A30483"/>
    <w:rsid w:val="20B78D9D"/>
    <w:rsid w:val="20EC9D97"/>
    <w:rsid w:val="217D75B9"/>
    <w:rsid w:val="21FD7F9D"/>
    <w:rsid w:val="23331251"/>
    <w:rsid w:val="24752304"/>
    <w:rsid w:val="248863FF"/>
    <w:rsid w:val="24CEE2B2"/>
    <w:rsid w:val="24D1FF48"/>
    <w:rsid w:val="2521514E"/>
    <w:rsid w:val="2553719D"/>
    <w:rsid w:val="2560C738"/>
    <w:rsid w:val="25A58370"/>
    <w:rsid w:val="25AC517E"/>
    <w:rsid w:val="278BE9DE"/>
    <w:rsid w:val="27D95321"/>
    <w:rsid w:val="27E027DA"/>
    <w:rsid w:val="28D83A54"/>
    <w:rsid w:val="29AE1048"/>
    <w:rsid w:val="29BBD546"/>
    <w:rsid w:val="2AB0E303"/>
    <w:rsid w:val="2BD1F5BA"/>
    <w:rsid w:val="2C4DD69B"/>
    <w:rsid w:val="2C631E63"/>
    <w:rsid w:val="2D0851BC"/>
    <w:rsid w:val="2E8F4669"/>
    <w:rsid w:val="2EAAAD23"/>
    <w:rsid w:val="2F6987EB"/>
    <w:rsid w:val="2F9C31B9"/>
    <w:rsid w:val="2FE46506"/>
    <w:rsid w:val="2FE86C7A"/>
    <w:rsid w:val="3059A8DE"/>
    <w:rsid w:val="31248A66"/>
    <w:rsid w:val="3159DEBE"/>
    <w:rsid w:val="315FDE12"/>
    <w:rsid w:val="31EC9484"/>
    <w:rsid w:val="32E3BE32"/>
    <w:rsid w:val="33B58CEA"/>
    <w:rsid w:val="343607B3"/>
    <w:rsid w:val="34D69FDB"/>
    <w:rsid w:val="3531062F"/>
    <w:rsid w:val="357C06CF"/>
    <w:rsid w:val="37240288"/>
    <w:rsid w:val="374C6D7E"/>
    <w:rsid w:val="377DD05F"/>
    <w:rsid w:val="37A75400"/>
    <w:rsid w:val="37A89934"/>
    <w:rsid w:val="389D27F9"/>
    <w:rsid w:val="38E339DE"/>
    <w:rsid w:val="39F72B0A"/>
    <w:rsid w:val="3A498C1B"/>
    <w:rsid w:val="3AF2108C"/>
    <w:rsid w:val="3B530C5A"/>
    <w:rsid w:val="3BE07BB1"/>
    <w:rsid w:val="3BF51B6F"/>
    <w:rsid w:val="3C0329B3"/>
    <w:rsid w:val="3C9283D7"/>
    <w:rsid w:val="3CA8A980"/>
    <w:rsid w:val="3CB3A575"/>
    <w:rsid w:val="3CC56AF8"/>
    <w:rsid w:val="3CD05D5F"/>
    <w:rsid w:val="3CE5D2F2"/>
    <w:rsid w:val="3DBE86B5"/>
    <w:rsid w:val="3E254A6F"/>
    <w:rsid w:val="3E66A5F5"/>
    <w:rsid w:val="3EDD85DE"/>
    <w:rsid w:val="3F14EA17"/>
    <w:rsid w:val="3F199546"/>
    <w:rsid w:val="3F60162C"/>
    <w:rsid w:val="40193F26"/>
    <w:rsid w:val="41069296"/>
    <w:rsid w:val="41871698"/>
    <w:rsid w:val="419492D1"/>
    <w:rsid w:val="419B12D3"/>
    <w:rsid w:val="430F3FE4"/>
    <w:rsid w:val="433A1718"/>
    <w:rsid w:val="437FCA1C"/>
    <w:rsid w:val="442B0923"/>
    <w:rsid w:val="4446AE75"/>
    <w:rsid w:val="45CCF523"/>
    <w:rsid w:val="45DDA5AC"/>
    <w:rsid w:val="4671B7DA"/>
    <w:rsid w:val="46A33C7F"/>
    <w:rsid w:val="46BC6B91"/>
    <w:rsid w:val="46F8012B"/>
    <w:rsid w:val="473AF09B"/>
    <w:rsid w:val="47632E9C"/>
    <w:rsid w:val="47E0D2FA"/>
    <w:rsid w:val="47E69C5F"/>
    <w:rsid w:val="480D31B8"/>
    <w:rsid w:val="49990D2E"/>
    <w:rsid w:val="49EA9FF4"/>
    <w:rsid w:val="4A3C4618"/>
    <w:rsid w:val="4AB6F0D4"/>
    <w:rsid w:val="4C0A005D"/>
    <w:rsid w:val="4C2D42F4"/>
    <w:rsid w:val="4CA25431"/>
    <w:rsid w:val="4CB23CF0"/>
    <w:rsid w:val="4CBA3238"/>
    <w:rsid w:val="4CE2C06C"/>
    <w:rsid w:val="4D12E674"/>
    <w:rsid w:val="4D69DDE7"/>
    <w:rsid w:val="4DCACAFA"/>
    <w:rsid w:val="4E31DE18"/>
    <w:rsid w:val="4E73C81C"/>
    <w:rsid w:val="4EDD719C"/>
    <w:rsid w:val="4F832631"/>
    <w:rsid w:val="4F9B8445"/>
    <w:rsid w:val="4FC16731"/>
    <w:rsid w:val="4FDCBB8E"/>
    <w:rsid w:val="50DBB10D"/>
    <w:rsid w:val="5169AF38"/>
    <w:rsid w:val="51933DDC"/>
    <w:rsid w:val="51D5FCE8"/>
    <w:rsid w:val="51FDD3D5"/>
    <w:rsid w:val="5247D663"/>
    <w:rsid w:val="525F9CFF"/>
    <w:rsid w:val="527F51AE"/>
    <w:rsid w:val="52BF09A0"/>
    <w:rsid w:val="5351998A"/>
    <w:rsid w:val="53EF4E3E"/>
    <w:rsid w:val="53F3ADDE"/>
    <w:rsid w:val="54162B76"/>
    <w:rsid w:val="54F40910"/>
    <w:rsid w:val="552925EE"/>
    <w:rsid w:val="55F6AA62"/>
    <w:rsid w:val="565F271B"/>
    <w:rsid w:val="57E1C04A"/>
    <w:rsid w:val="58181D08"/>
    <w:rsid w:val="586F0D97"/>
    <w:rsid w:val="58BF0472"/>
    <w:rsid w:val="58EE92A5"/>
    <w:rsid w:val="5916DC7B"/>
    <w:rsid w:val="595CF091"/>
    <w:rsid w:val="599D75E8"/>
    <w:rsid w:val="5A164E1E"/>
    <w:rsid w:val="5C30B424"/>
    <w:rsid w:val="5C3B96F4"/>
    <w:rsid w:val="5D1337C4"/>
    <w:rsid w:val="5D576DF6"/>
    <w:rsid w:val="5D8EAED8"/>
    <w:rsid w:val="5DB048BD"/>
    <w:rsid w:val="5DD0E88C"/>
    <w:rsid w:val="5E3E4010"/>
    <w:rsid w:val="5E4897A7"/>
    <w:rsid w:val="5E851C4F"/>
    <w:rsid w:val="5ECDF9CB"/>
    <w:rsid w:val="5EDC56DD"/>
    <w:rsid w:val="5F5A6EB0"/>
    <w:rsid w:val="60D07264"/>
    <w:rsid w:val="611D6076"/>
    <w:rsid w:val="6186A44B"/>
    <w:rsid w:val="61CCDC75"/>
    <w:rsid w:val="61DBC704"/>
    <w:rsid w:val="61E6116F"/>
    <w:rsid w:val="61F19020"/>
    <w:rsid w:val="626C42C5"/>
    <w:rsid w:val="628134E2"/>
    <w:rsid w:val="62D6E802"/>
    <w:rsid w:val="63ED19C9"/>
    <w:rsid w:val="64572F0F"/>
    <w:rsid w:val="6498EF52"/>
    <w:rsid w:val="657CAB43"/>
    <w:rsid w:val="65C3A146"/>
    <w:rsid w:val="65EE78FE"/>
    <w:rsid w:val="65F9229C"/>
    <w:rsid w:val="66572088"/>
    <w:rsid w:val="669CBC54"/>
    <w:rsid w:val="66FEB4AC"/>
    <w:rsid w:val="67089BB3"/>
    <w:rsid w:val="67216243"/>
    <w:rsid w:val="675D3168"/>
    <w:rsid w:val="6769F8F8"/>
    <w:rsid w:val="6771103A"/>
    <w:rsid w:val="67CB006E"/>
    <w:rsid w:val="67E6CD1E"/>
    <w:rsid w:val="68D394A5"/>
    <w:rsid w:val="690527CC"/>
    <w:rsid w:val="6957B600"/>
    <w:rsid w:val="699F318D"/>
    <w:rsid w:val="6A32981E"/>
    <w:rsid w:val="6B0A3E3E"/>
    <w:rsid w:val="6BA1B188"/>
    <w:rsid w:val="6BC362A4"/>
    <w:rsid w:val="6BC3BC79"/>
    <w:rsid w:val="6BF3BA25"/>
    <w:rsid w:val="6C3CC88E"/>
    <w:rsid w:val="6D18D98C"/>
    <w:rsid w:val="6DF1C14C"/>
    <w:rsid w:val="6E1209CD"/>
    <w:rsid w:val="6E9B552C"/>
    <w:rsid w:val="6EC7F054"/>
    <w:rsid w:val="6F996D91"/>
    <w:rsid w:val="7006FBBC"/>
    <w:rsid w:val="7006FF00"/>
    <w:rsid w:val="70166936"/>
    <w:rsid w:val="7029267D"/>
    <w:rsid w:val="7039B62F"/>
    <w:rsid w:val="704DA44D"/>
    <w:rsid w:val="707D1031"/>
    <w:rsid w:val="70FADB9A"/>
    <w:rsid w:val="7210F30C"/>
    <w:rsid w:val="72C37D30"/>
    <w:rsid w:val="72FAB1D6"/>
    <w:rsid w:val="737FDA57"/>
    <w:rsid w:val="738B7D4D"/>
    <w:rsid w:val="739EFF9B"/>
    <w:rsid w:val="740C8128"/>
    <w:rsid w:val="7579B2CD"/>
    <w:rsid w:val="75C49E7C"/>
    <w:rsid w:val="75E07EFC"/>
    <w:rsid w:val="7668FEC6"/>
    <w:rsid w:val="76C02433"/>
    <w:rsid w:val="76ED5B5D"/>
    <w:rsid w:val="76EE49F3"/>
    <w:rsid w:val="77DC6B91"/>
    <w:rsid w:val="7833701A"/>
    <w:rsid w:val="7935D29B"/>
    <w:rsid w:val="79409FA5"/>
    <w:rsid w:val="79E6BBD9"/>
    <w:rsid w:val="7A18BF5E"/>
    <w:rsid w:val="7A1C4D51"/>
    <w:rsid w:val="7A25EAB5"/>
    <w:rsid w:val="7AB71BF7"/>
    <w:rsid w:val="7BAD1600"/>
    <w:rsid w:val="7BB5011C"/>
    <w:rsid w:val="7BF04BC2"/>
    <w:rsid w:val="7C0B7318"/>
    <w:rsid w:val="7C1DB314"/>
    <w:rsid w:val="7D2D86EE"/>
    <w:rsid w:val="7D53A5B3"/>
    <w:rsid w:val="7D5B9339"/>
    <w:rsid w:val="7D7AC354"/>
    <w:rsid w:val="7EAD4668"/>
    <w:rsid w:val="7EB9E0C2"/>
    <w:rsid w:val="7EC9574F"/>
    <w:rsid w:val="7EDE6A8E"/>
    <w:rsid w:val="7EE27FAC"/>
    <w:rsid w:val="7EED4F75"/>
    <w:rsid w:val="7F0FA5BB"/>
    <w:rsid w:val="7F21367E"/>
    <w:rsid w:val="7F301109"/>
    <w:rsid w:val="7F55164A"/>
    <w:rsid w:val="7FF90D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B9E0"/>
  <w15:docId w15:val="{F8115A66-1E00-442B-AD0F-C04A98EE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ind w:left="709" w:hanging="574"/>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ind w:left="1276" w:hanging="850"/>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PlainText">
    <w:name w:val="Plain Text"/>
    <w:basedOn w:val="Normal"/>
    <w:link w:val="PlainTextChar"/>
    <w:uiPriority w:val="99"/>
    <w:rsid w:val="00D75098"/>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D75098"/>
    <w:rPr>
      <w:rFonts w:ascii="Calibri" w:eastAsia="Calibri" w:hAnsi="Calibri" w:cs="Arial"/>
      <w:szCs w:val="21"/>
    </w:rPr>
  </w:style>
  <w:style w:type="character" w:styleId="FollowedHyperlink">
    <w:name w:val="FollowedHyperlink"/>
    <w:basedOn w:val="DefaultParagraphFont"/>
    <w:uiPriority w:val="99"/>
    <w:semiHidden/>
    <w:unhideWhenUsed/>
    <w:rsid w:val="00475C58"/>
    <w:rPr>
      <w:color w:val="800080" w:themeColor="followedHyperlink"/>
      <w:u w:val="single"/>
    </w:rPr>
  </w:style>
  <w:style w:type="paragraph" w:customStyle="1" w:styleId="paragraph">
    <w:name w:val="paragraph"/>
    <w:basedOn w:val="Normal"/>
    <w:rsid w:val="00444189"/>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444189"/>
  </w:style>
  <w:style w:type="character" w:customStyle="1" w:styleId="eop">
    <w:name w:val="eop"/>
    <w:basedOn w:val="DefaultParagraphFont"/>
    <w:rsid w:val="00444189"/>
  </w:style>
  <w:style w:type="character" w:styleId="UnresolvedMention">
    <w:name w:val="Unresolved Mention"/>
    <w:basedOn w:val="DefaultParagraphFont"/>
    <w:uiPriority w:val="99"/>
    <w:semiHidden/>
    <w:unhideWhenUsed/>
    <w:rsid w:val="00873BC2"/>
    <w:rPr>
      <w:color w:val="605E5C"/>
      <w:shd w:val="clear" w:color="auto" w:fill="E1DFDD"/>
    </w:rPr>
  </w:style>
  <w:style w:type="character" w:customStyle="1" w:styleId="superscript">
    <w:name w:val="superscript"/>
    <w:basedOn w:val="DefaultParagraphFont"/>
    <w:rsid w:val="005E19A0"/>
  </w:style>
  <w:style w:type="character" w:styleId="Mention">
    <w:name w:val="Mention"/>
    <w:basedOn w:val="DefaultParagraphFont"/>
    <w:uiPriority w:val="99"/>
    <w:unhideWhenUsed/>
    <w:rsid w:val="00AC1A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217018642">
      <w:bodyDiv w:val="1"/>
      <w:marLeft w:val="0"/>
      <w:marRight w:val="0"/>
      <w:marTop w:val="0"/>
      <w:marBottom w:val="0"/>
      <w:divBdr>
        <w:top w:val="none" w:sz="0" w:space="0" w:color="auto"/>
        <w:left w:val="none" w:sz="0" w:space="0" w:color="auto"/>
        <w:bottom w:val="none" w:sz="0" w:space="0" w:color="auto"/>
        <w:right w:val="none" w:sz="0" w:space="0" w:color="auto"/>
      </w:divBdr>
      <w:divsChild>
        <w:div w:id="716667990">
          <w:marLeft w:val="0"/>
          <w:marRight w:val="0"/>
          <w:marTop w:val="0"/>
          <w:marBottom w:val="0"/>
          <w:divBdr>
            <w:top w:val="none" w:sz="0" w:space="0" w:color="auto"/>
            <w:left w:val="none" w:sz="0" w:space="0" w:color="auto"/>
            <w:bottom w:val="none" w:sz="0" w:space="0" w:color="auto"/>
            <w:right w:val="none" w:sz="0" w:space="0" w:color="auto"/>
          </w:divBdr>
        </w:div>
        <w:div w:id="1035691803">
          <w:marLeft w:val="0"/>
          <w:marRight w:val="0"/>
          <w:marTop w:val="0"/>
          <w:marBottom w:val="0"/>
          <w:divBdr>
            <w:top w:val="none" w:sz="0" w:space="0" w:color="auto"/>
            <w:left w:val="none" w:sz="0" w:space="0" w:color="auto"/>
            <w:bottom w:val="none" w:sz="0" w:space="0" w:color="auto"/>
            <w:right w:val="none" w:sz="0" w:space="0" w:color="auto"/>
          </w:divBdr>
        </w:div>
      </w:divsChild>
    </w:div>
    <w:div w:id="321003614">
      <w:bodyDiv w:val="1"/>
      <w:marLeft w:val="0"/>
      <w:marRight w:val="0"/>
      <w:marTop w:val="0"/>
      <w:marBottom w:val="0"/>
      <w:divBdr>
        <w:top w:val="none" w:sz="0" w:space="0" w:color="auto"/>
        <w:left w:val="none" w:sz="0" w:space="0" w:color="auto"/>
        <w:bottom w:val="none" w:sz="0" w:space="0" w:color="auto"/>
        <w:right w:val="none" w:sz="0" w:space="0" w:color="auto"/>
      </w:divBdr>
      <w:divsChild>
        <w:div w:id="351615119">
          <w:marLeft w:val="0"/>
          <w:marRight w:val="0"/>
          <w:marTop w:val="0"/>
          <w:marBottom w:val="0"/>
          <w:divBdr>
            <w:top w:val="none" w:sz="0" w:space="0" w:color="auto"/>
            <w:left w:val="none" w:sz="0" w:space="0" w:color="auto"/>
            <w:bottom w:val="none" w:sz="0" w:space="0" w:color="auto"/>
            <w:right w:val="none" w:sz="0" w:space="0" w:color="auto"/>
          </w:divBdr>
        </w:div>
        <w:div w:id="861430738">
          <w:marLeft w:val="0"/>
          <w:marRight w:val="0"/>
          <w:marTop w:val="0"/>
          <w:marBottom w:val="0"/>
          <w:divBdr>
            <w:top w:val="none" w:sz="0" w:space="0" w:color="auto"/>
            <w:left w:val="none" w:sz="0" w:space="0" w:color="auto"/>
            <w:bottom w:val="none" w:sz="0" w:space="0" w:color="auto"/>
            <w:right w:val="none" w:sz="0" w:space="0" w:color="auto"/>
          </w:divBdr>
        </w:div>
        <w:div w:id="1662855905">
          <w:marLeft w:val="0"/>
          <w:marRight w:val="0"/>
          <w:marTop w:val="0"/>
          <w:marBottom w:val="0"/>
          <w:divBdr>
            <w:top w:val="none" w:sz="0" w:space="0" w:color="auto"/>
            <w:left w:val="none" w:sz="0" w:space="0" w:color="auto"/>
            <w:bottom w:val="none" w:sz="0" w:space="0" w:color="auto"/>
            <w:right w:val="none" w:sz="0" w:space="0" w:color="auto"/>
          </w:divBdr>
        </w:div>
      </w:divsChild>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68930105">
      <w:bodyDiv w:val="1"/>
      <w:marLeft w:val="0"/>
      <w:marRight w:val="0"/>
      <w:marTop w:val="0"/>
      <w:marBottom w:val="0"/>
      <w:divBdr>
        <w:top w:val="none" w:sz="0" w:space="0" w:color="auto"/>
        <w:left w:val="none" w:sz="0" w:space="0" w:color="auto"/>
        <w:bottom w:val="none" w:sz="0" w:space="0" w:color="auto"/>
        <w:right w:val="none" w:sz="0" w:space="0" w:color="auto"/>
      </w:divBdr>
      <w:divsChild>
        <w:div w:id="854926645">
          <w:marLeft w:val="0"/>
          <w:marRight w:val="0"/>
          <w:marTop w:val="0"/>
          <w:marBottom w:val="0"/>
          <w:divBdr>
            <w:top w:val="none" w:sz="0" w:space="0" w:color="auto"/>
            <w:left w:val="none" w:sz="0" w:space="0" w:color="auto"/>
            <w:bottom w:val="none" w:sz="0" w:space="0" w:color="auto"/>
            <w:right w:val="none" w:sz="0" w:space="0" w:color="auto"/>
          </w:divBdr>
        </w:div>
        <w:div w:id="927543614">
          <w:marLeft w:val="0"/>
          <w:marRight w:val="0"/>
          <w:marTop w:val="0"/>
          <w:marBottom w:val="0"/>
          <w:divBdr>
            <w:top w:val="none" w:sz="0" w:space="0" w:color="auto"/>
            <w:left w:val="none" w:sz="0" w:space="0" w:color="auto"/>
            <w:bottom w:val="none" w:sz="0" w:space="0" w:color="auto"/>
            <w:right w:val="none" w:sz="0" w:space="0" w:color="auto"/>
          </w:divBdr>
        </w:div>
        <w:div w:id="1773279291">
          <w:marLeft w:val="0"/>
          <w:marRight w:val="0"/>
          <w:marTop w:val="0"/>
          <w:marBottom w:val="0"/>
          <w:divBdr>
            <w:top w:val="none" w:sz="0" w:space="0" w:color="auto"/>
            <w:left w:val="none" w:sz="0" w:space="0" w:color="auto"/>
            <w:bottom w:val="none" w:sz="0" w:space="0" w:color="auto"/>
            <w:right w:val="none" w:sz="0" w:space="0" w:color="auto"/>
          </w:divBdr>
        </w:div>
      </w:divsChild>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474641328">
      <w:bodyDiv w:val="1"/>
      <w:marLeft w:val="0"/>
      <w:marRight w:val="0"/>
      <w:marTop w:val="0"/>
      <w:marBottom w:val="0"/>
      <w:divBdr>
        <w:top w:val="none" w:sz="0" w:space="0" w:color="auto"/>
        <w:left w:val="none" w:sz="0" w:space="0" w:color="auto"/>
        <w:bottom w:val="none" w:sz="0" w:space="0" w:color="auto"/>
        <w:right w:val="none" w:sz="0" w:space="0" w:color="auto"/>
      </w:divBdr>
      <w:divsChild>
        <w:div w:id="53548115">
          <w:marLeft w:val="0"/>
          <w:marRight w:val="0"/>
          <w:marTop w:val="0"/>
          <w:marBottom w:val="0"/>
          <w:divBdr>
            <w:top w:val="none" w:sz="0" w:space="0" w:color="auto"/>
            <w:left w:val="none" w:sz="0" w:space="0" w:color="auto"/>
            <w:bottom w:val="none" w:sz="0" w:space="0" w:color="auto"/>
            <w:right w:val="none" w:sz="0" w:space="0" w:color="auto"/>
          </w:divBdr>
        </w:div>
        <w:div w:id="838009764">
          <w:marLeft w:val="0"/>
          <w:marRight w:val="0"/>
          <w:marTop w:val="0"/>
          <w:marBottom w:val="0"/>
          <w:divBdr>
            <w:top w:val="none" w:sz="0" w:space="0" w:color="auto"/>
            <w:left w:val="none" w:sz="0" w:space="0" w:color="auto"/>
            <w:bottom w:val="none" w:sz="0" w:space="0" w:color="auto"/>
            <w:right w:val="none" w:sz="0" w:space="0" w:color="auto"/>
          </w:divBdr>
        </w:div>
        <w:div w:id="1063913712">
          <w:marLeft w:val="0"/>
          <w:marRight w:val="0"/>
          <w:marTop w:val="0"/>
          <w:marBottom w:val="0"/>
          <w:divBdr>
            <w:top w:val="none" w:sz="0" w:space="0" w:color="auto"/>
            <w:left w:val="none" w:sz="0" w:space="0" w:color="auto"/>
            <w:bottom w:val="none" w:sz="0" w:space="0" w:color="auto"/>
            <w:right w:val="none" w:sz="0" w:space="0" w:color="auto"/>
          </w:divBdr>
        </w:div>
        <w:div w:id="1621573450">
          <w:marLeft w:val="0"/>
          <w:marRight w:val="0"/>
          <w:marTop w:val="0"/>
          <w:marBottom w:val="0"/>
          <w:divBdr>
            <w:top w:val="none" w:sz="0" w:space="0" w:color="auto"/>
            <w:left w:val="none" w:sz="0" w:space="0" w:color="auto"/>
            <w:bottom w:val="none" w:sz="0" w:space="0" w:color="auto"/>
            <w:right w:val="none" w:sz="0" w:space="0" w:color="auto"/>
          </w:divBdr>
        </w:div>
      </w:divsChild>
    </w:div>
    <w:div w:id="1590966641">
      <w:bodyDiv w:val="1"/>
      <w:marLeft w:val="0"/>
      <w:marRight w:val="0"/>
      <w:marTop w:val="0"/>
      <w:marBottom w:val="0"/>
      <w:divBdr>
        <w:top w:val="none" w:sz="0" w:space="0" w:color="auto"/>
        <w:left w:val="none" w:sz="0" w:space="0" w:color="auto"/>
        <w:bottom w:val="none" w:sz="0" w:space="0" w:color="auto"/>
        <w:right w:val="none" w:sz="0" w:space="0" w:color="auto"/>
      </w:divBdr>
      <w:divsChild>
        <w:div w:id="187108652">
          <w:marLeft w:val="0"/>
          <w:marRight w:val="0"/>
          <w:marTop w:val="0"/>
          <w:marBottom w:val="0"/>
          <w:divBdr>
            <w:top w:val="none" w:sz="0" w:space="0" w:color="auto"/>
            <w:left w:val="none" w:sz="0" w:space="0" w:color="auto"/>
            <w:bottom w:val="none" w:sz="0" w:space="0" w:color="auto"/>
            <w:right w:val="none" w:sz="0" w:space="0" w:color="auto"/>
          </w:divBdr>
        </w:div>
        <w:div w:id="700280665">
          <w:marLeft w:val="0"/>
          <w:marRight w:val="0"/>
          <w:marTop w:val="0"/>
          <w:marBottom w:val="0"/>
          <w:divBdr>
            <w:top w:val="none" w:sz="0" w:space="0" w:color="auto"/>
            <w:left w:val="none" w:sz="0" w:space="0" w:color="auto"/>
            <w:bottom w:val="none" w:sz="0" w:space="0" w:color="auto"/>
            <w:right w:val="none" w:sz="0" w:space="0" w:color="auto"/>
          </w:divBdr>
        </w:div>
        <w:div w:id="1065759179">
          <w:marLeft w:val="0"/>
          <w:marRight w:val="0"/>
          <w:marTop w:val="0"/>
          <w:marBottom w:val="0"/>
          <w:divBdr>
            <w:top w:val="none" w:sz="0" w:space="0" w:color="auto"/>
            <w:left w:val="none" w:sz="0" w:space="0" w:color="auto"/>
            <w:bottom w:val="none" w:sz="0" w:space="0" w:color="auto"/>
            <w:right w:val="none" w:sz="0" w:space="0" w:color="auto"/>
          </w:divBdr>
        </w:div>
        <w:div w:id="1552883544">
          <w:marLeft w:val="0"/>
          <w:marRight w:val="0"/>
          <w:marTop w:val="0"/>
          <w:marBottom w:val="0"/>
          <w:divBdr>
            <w:top w:val="none" w:sz="0" w:space="0" w:color="auto"/>
            <w:left w:val="none" w:sz="0" w:space="0" w:color="auto"/>
            <w:bottom w:val="none" w:sz="0" w:space="0" w:color="auto"/>
            <w:right w:val="none" w:sz="0" w:space="0" w:color="auto"/>
          </w:divBdr>
        </w:div>
      </w:divsChild>
    </w:div>
    <w:div w:id="1714649118">
      <w:bodyDiv w:val="1"/>
      <w:marLeft w:val="0"/>
      <w:marRight w:val="0"/>
      <w:marTop w:val="0"/>
      <w:marBottom w:val="0"/>
      <w:divBdr>
        <w:top w:val="none" w:sz="0" w:space="0" w:color="auto"/>
        <w:left w:val="none" w:sz="0" w:space="0" w:color="auto"/>
        <w:bottom w:val="none" w:sz="0" w:space="0" w:color="auto"/>
        <w:right w:val="none" w:sz="0" w:space="0" w:color="auto"/>
      </w:divBdr>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rpleorange.org.au/application/files/7416/2510/1861/PO-CoDesign_Guide-Web-Accessibl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rpleorange.org.au/what-we-do/library-our-work/model-citizenhood-sup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biw@purpleorange.org.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reports/older-people/older-australians/contents/demographic-profile" TargetMode="External"/><Relationship Id="rId13" Type="http://schemas.openxmlformats.org/officeDocument/2006/relationships/hyperlink" Target="https://inclusive.sa.gov.au/__data/assets/pdf_file/0017/141641/Inclusive-SA-Annual-Report-2021-2022.pdf" TargetMode="External"/><Relationship Id="rId3" Type="http://schemas.openxmlformats.org/officeDocument/2006/relationships/hyperlink" Target="https://www.abs.gov.au/statistics/health/disability/disability-ageing-and-carers-australia-summary-findings/latest-release" TargetMode="External"/><Relationship Id="rId7" Type="http://schemas.openxmlformats.org/officeDocument/2006/relationships/hyperlink" Target="https://www.ndis.gov.au/about-us/publications/quarterly-reports" TargetMode="External"/><Relationship Id="rId12" Type="http://schemas.openxmlformats.org/officeDocument/2006/relationships/hyperlink" Target="https://changingplaces.org.au/mlak" TargetMode="External"/><Relationship Id="rId2" Type="http://schemas.openxmlformats.org/officeDocument/2006/relationships/hyperlink" Target="https://www.purpleorange.org.au/what-we-do/library-our-work/model-citizenhood-support" TargetMode="External"/><Relationship Id="rId1" Type="http://schemas.openxmlformats.org/officeDocument/2006/relationships/hyperlink" Target="https://www.dss.gov.au/our-responsibilities/disability-and-carers/publications-articles/policy-research/shut-out-the-experience-of-people-with-disabilities-and-their-families-in-australia" TargetMode="External"/><Relationship Id="rId6" Type="http://schemas.openxmlformats.org/officeDocument/2006/relationships/hyperlink" Target="https://disability.unimelb.edu.au/__data/assets/pdf_file/0011/3492686/RIA-Report-Survey-Findings.pdf" TargetMode="External"/><Relationship Id="rId11" Type="http://schemas.openxmlformats.org/officeDocument/2006/relationships/hyperlink" Target="https://changingplaces.org.au/find" TargetMode="External"/><Relationship Id="rId5" Type="http://schemas.openxmlformats.org/officeDocument/2006/relationships/hyperlink" Target="https://purpleorange.org.au/application/files/7416/2510/1861/PO-CoDesign_Guide-Web-Accessible.pdf" TargetMode="External"/><Relationship Id="rId10" Type="http://schemas.openxmlformats.org/officeDocument/2006/relationships/hyperlink" Target="https://www.education.sa.gov.au/sites/g/files/net691/f/effective-building-practices-for-children-and-students-with-disability-august-2016.pdf" TargetMode="External"/><Relationship Id="rId4" Type="http://schemas.openxmlformats.org/officeDocument/2006/relationships/hyperlink" Target="https://humanrights.gov.au/our-work/disability-rights/united-nations-convention-rights-persons-disabilities-uncrpd" TargetMode="External"/><Relationship Id="rId9" Type="http://schemas.openxmlformats.org/officeDocument/2006/relationships/hyperlink" Target="https://inclusiveschoolcommunities.org.au/news/final-project-evaluatio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Time xmlns="d40cd17d-395b-49a6-a449-4db40669aa08" xsi:nil="true"/>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20" ma:contentTypeDescription="Create a new document." ma:contentTypeScope="" ma:versionID="4b5fd9e0ca1b4441d06ef897a9256155">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56bb2120dbf78d7a16962ba77f32cf1e"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1A459-35D0-4D51-93E2-E4BF495F4DCC}">
  <ds:schemaRefs>
    <ds:schemaRef ds:uri="http://schemas.openxmlformats.org/officeDocument/2006/bibliography"/>
  </ds:schemaRefs>
</ds:datastoreItem>
</file>

<file path=customXml/itemProps2.xml><?xml version="1.0" encoding="utf-8"?>
<ds:datastoreItem xmlns:ds="http://schemas.openxmlformats.org/officeDocument/2006/customXml" ds:itemID="{3CB8AF03-6305-48B4-8B05-436D01F04D40}">
  <ds:schemaRefs>
    <ds:schemaRef ds:uri="http://schemas.microsoft.com/sharepoint/v3/contenttype/forms"/>
  </ds:schemaRefs>
</ds:datastoreItem>
</file>

<file path=customXml/itemProps3.xml><?xml version="1.0" encoding="utf-8"?>
<ds:datastoreItem xmlns:ds="http://schemas.openxmlformats.org/officeDocument/2006/customXml" ds:itemID="{69535D78-528C-4DBA-91BB-107A4F62EE76}">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d40cd17d-395b-49a6-a449-4db40669aa08"/>
    <ds:schemaRef ds:uri="http://schemas.openxmlformats.org/package/2006/metadata/core-properties"/>
    <ds:schemaRef ds:uri="c639d33e-a57d-4ba9-bdad-95bee2182b18"/>
    <ds:schemaRef ds:uri="http://purl.org/dc/terms/"/>
  </ds:schemaRefs>
</ds:datastoreItem>
</file>

<file path=customXml/itemProps4.xml><?xml version="1.0" encoding="utf-8"?>
<ds:datastoreItem xmlns:ds="http://schemas.openxmlformats.org/officeDocument/2006/customXml" ds:itemID="{28CA5DAD-9A5D-4DCE-8582-EB074A70C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15466</Words>
  <Characters>88158</Characters>
  <Application>Microsoft Office Word</Application>
  <DocSecurity>0</DocSecurity>
  <Lines>734</Lines>
  <Paragraphs>206</Paragraphs>
  <ScaleCrop>false</ScaleCrop>
  <Company>Toshiba</Company>
  <LinksUpToDate>false</LinksUpToDate>
  <CharactersWithSpaces>103418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Loebel</dc:creator>
  <cp:keywords/>
  <cp:lastModifiedBy>Nick Roach</cp:lastModifiedBy>
  <cp:revision>2</cp:revision>
  <cp:lastPrinted>2023-11-06T05:53:00Z</cp:lastPrinted>
  <dcterms:created xsi:type="dcterms:W3CDTF">2025-10-13T01:50:00Z</dcterms:created>
  <dcterms:modified xsi:type="dcterms:W3CDTF">2025-10-13T01:50:00Z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MediaServiceImageTags">
    <vt:lpwstr/>
  </property>
</Properties>
</file>